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1"/>
        <w:suppressAutoHyphens w:val="true"/>
        <w:spacing w:lineRule="exact" w:line="600"/>
        <w:jc w:val="center"/>
        <w:textAlignment w:val="baseline"/>
        <w:rPr>
          <w:rFonts w:ascii="標楷體" w:hAnsi="標楷體" w:eastAsia="標楷體" w:cs="新細明體"/>
          <w:b/>
          <w:b/>
          <w:bCs/>
          <w:color w:val="000000"/>
          <w:sz w:val="28"/>
          <w:szCs w:val="28"/>
        </w:rPr>
      </w:pPr>
      <w:r>
        <w:rPr>
          <w:rFonts w:ascii="標楷體" w:hAnsi="標楷體" w:cs="新細明體" w:eastAsia="標楷體"/>
          <w:b/>
          <w:bCs/>
          <w:color w:val="000000"/>
          <w:sz w:val="28"/>
          <w:szCs w:val="28"/>
        </w:rPr>
        <w:t>普通型高級中等學校公民與社會學科中心</w:t>
      </w:r>
      <w:r>
        <w:rPr>
          <w:rFonts w:eastAsia="標楷體" w:cs="新細明體" w:ascii="標楷體" w:hAnsi="標楷體"/>
          <w:b/>
          <w:bCs/>
          <w:color w:val="000000"/>
          <w:sz w:val="28"/>
          <w:szCs w:val="28"/>
        </w:rPr>
        <w:t>110</w:t>
      </w:r>
      <w:r>
        <w:rPr>
          <w:rFonts w:ascii="標楷體" w:hAnsi="標楷體" w:cs="新細明體" w:eastAsia="標楷體"/>
          <w:b/>
          <w:bCs/>
          <w:color w:val="000000"/>
          <w:sz w:val="28"/>
          <w:szCs w:val="28"/>
        </w:rPr>
        <w:t>學年度教師專業成長研習實施計畫</w:t>
      </w:r>
    </w:p>
    <w:p>
      <w:pPr>
        <w:pStyle w:val="Style22"/>
        <w:spacing w:lineRule="atLeast" w:line="240"/>
        <w:ind w:left="480" w:hanging="0"/>
        <w:jc w:val="center"/>
        <w:rPr>
          <w:rFonts w:ascii="標楷體" w:hAnsi="標楷體" w:eastAsia="標楷體" w:cs="新細明體"/>
          <w:b/>
          <w:b/>
          <w:bCs/>
          <w:color w:val="000000"/>
          <w:sz w:val="32"/>
          <w:szCs w:val="24"/>
        </w:rPr>
      </w:pPr>
      <w:r>
        <w:rPr>
          <w:rFonts w:ascii="標楷體" w:hAnsi="標楷體" w:cs="新細明體" w:eastAsia="標楷體"/>
          <w:b/>
          <w:bCs/>
          <w:color w:val="000000"/>
          <w:sz w:val="32"/>
          <w:szCs w:val="24"/>
        </w:rPr>
        <w:t>玩轉教學工作坊</w:t>
      </w:r>
    </w:p>
    <w:p>
      <w:pPr>
        <w:pStyle w:val="Style22"/>
        <w:numPr>
          <w:ilvl w:val="0"/>
          <w:numId w:val="1"/>
        </w:numPr>
        <w:spacing w:before="120" w:after="0"/>
        <w:ind w:left="425" w:hanging="0"/>
        <w:rPr>
          <w:rFonts w:ascii="標楷體" w:hAnsi="標楷體" w:eastAsia="標楷體" w:cs="Times New Roman"/>
          <w:b/>
          <w:b/>
          <w:sz w:val="26"/>
          <w:szCs w:val="26"/>
        </w:rPr>
      </w:pPr>
      <w:r>
        <w:rPr>
          <w:rFonts w:ascii="標楷體" w:hAnsi="標楷體" w:cs="Times New Roman" w:eastAsia="標楷體"/>
          <w:b/>
          <w:sz w:val="26"/>
          <w:szCs w:val="26"/>
        </w:rPr>
        <w:t>計畫依據</w:t>
      </w:r>
    </w:p>
    <w:p>
      <w:pPr>
        <w:pStyle w:val="Style22"/>
        <w:spacing w:lineRule="auto" w:line="480"/>
        <w:ind w:left="851" w:right="110" w:hanging="0"/>
        <w:rPr/>
      </w:pPr>
      <w:r>
        <w:rPr>
          <w:rStyle w:val="Style14"/>
          <w:rFonts w:ascii="標楷體" w:hAnsi="標楷體" w:cs="華康儷楷書" w:eastAsia="標楷體"/>
          <w:color w:val="000000"/>
        </w:rPr>
        <w:t>教育部國民及學前教育署高級中等學校課程推動工作圈及學科群科中心設置與運作要點。</w:t>
      </w:r>
    </w:p>
    <w:p>
      <w:pPr>
        <w:pStyle w:val="Style22"/>
        <w:numPr>
          <w:ilvl w:val="0"/>
          <w:numId w:val="1"/>
        </w:numPr>
        <w:spacing w:before="120" w:after="0"/>
        <w:ind w:left="425" w:hanging="0"/>
        <w:rPr>
          <w:rFonts w:ascii="標楷體" w:hAnsi="標楷體" w:eastAsia="標楷體" w:cs="Times New Roman"/>
          <w:b/>
          <w:b/>
          <w:sz w:val="26"/>
          <w:szCs w:val="26"/>
        </w:rPr>
      </w:pPr>
      <w:r>
        <w:rPr>
          <w:rFonts w:ascii="標楷體" w:hAnsi="標楷體" w:cs="Times New Roman" w:eastAsia="標楷體"/>
          <w:b/>
          <w:sz w:val="26"/>
          <w:szCs w:val="26"/>
        </w:rPr>
        <w:t>目的</w:t>
      </w:r>
    </w:p>
    <w:p>
      <w:pPr>
        <w:pStyle w:val="Style22"/>
        <w:ind w:left="960" w:right="259" w:hanging="0"/>
        <w:rPr/>
      </w:pPr>
      <w:r>
        <w:rPr>
          <w:rStyle w:val="Style14"/>
          <w:rFonts w:ascii="標楷體" w:hAnsi="標楷體" w:cs="Times New Roman" w:eastAsia="標楷體"/>
          <w:szCs w:val="24"/>
        </w:rPr>
        <w:t>跨國企業為降低成本在工資低廉國家雇用廉價勞工，有許多婦女與童工為了生存只能默默接受。在購買產品時多數人並不了解這些跨國企業對待勞工是否友善</w:t>
      </w:r>
      <w:r>
        <w:rPr>
          <w:rStyle w:val="Style14"/>
          <w:rFonts w:eastAsia="標楷體" w:cs="Times New Roman" w:ascii="標楷體" w:hAnsi="標楷體"/>
          <w:szCs w:val="24"/>
        </w:rPr>
        <w:t>?</w:t>
      </w:r>
      <w:r>
        <w:rPr>
          <w:rStyle w:val="Style14"/>
          <w:rFonts w:ascii="標楷體" w:hAnsi="標楷體" w:cs="Times New Roman" w:eastAsia="標楷體"/>
          <w:szCs w:val="24"/>
        </w:rPr>
        <w:t>網路社交平台常有</w:t>
      </w:r>
      <w:r>
        <w:rPr>
          <w:rStyle w:val="Style14"/>
          <w:rFonts w:eastAsia="標楷體" w:cs="Times New Roman" w:ascii="標楷體" w:hAnsi="標楷體"/>
          <w:szCs w:val="24"/>
        </w:rPr>
        <w:t>KOL</w:t>
      </w:r>
      <w:r>
        <w:rPr>
          <w:rStyle w:val="Style14"/>
          <w:rFonts w:ascii="標楷體" w:hAnsi="標楷體" w:cs="Times New Roman" w:eastAsia="標楷體"/>
          <w:szCs w:val="24"/>
        </w:rPr>
        <w:t>分享自己選購的商品，因為和廠商有對價商業行銷合約</w:t>
      </w:r>
      <w:bookmarkStart w:id="0" w:name="_Hlk99745697"/>
      <w:r>
        <w:rPr>
          <w:rStyle w:val="Style14"/>
          <w:rFonts w:ascii="標楷體" w:hAnsi="標楷體" w:cs="Times New Roman" w:eastAsia="標楷體"/>
          <w:szCs w:val="24"/>
        </w:rPr>
        <w:t>，</w:t>
      </w:r>
      <w:bookmarkEnd w:id="0"/>
      <w:r>
        <w:rPr>
          <w:rStyle w:val="Style14"/>
          <w:rFonts w:eastAsia="標楷體" w:cs="Times New Roman" w:ascii="標楷體" w:hAnsi="標楷體"/>
          <w:szCs w:val="24"/>
        </w:rPr>
        <w:t>KOL</w:t>
      </w:r>
      <w:r>
        <w:rPr>
          <w:rStyle w:val="Style14"/>
          <w:rFonts w:ascii="標楷體" w:hAnsi="標楷體" w:cs="Times New Roman" w:eastAsia="標楷體"/>
          <w:szCs w:val="24"/>
        </w:rPr>
        <w:t>能否秉持良善的心為真正友善的產品代言將是影響世界的重要關鍵，現在一起加入玩轉學校精心開發的桌遊研習，體會成為</w:t>
      </w:r>
      <w:r>
        <w:rPr>
          <w:rStyle w:val="Style14"/>
          <w:rFonts w:eastAsia="標楷體" w:cs="Times New Roman" w:ascii="標楷體" w:hAnsi="標楷體"/>
          <w:szCs w:val="24"/>
        </w:rPr>
        <w:t>KOL</w:t>
      </w:r>
      <w:r>
        <w:rPr>
          <w:rStyle w:val="Style14"/>
          <w:rFonts w:ascii="標楷體" w:hAnsi="標楷體" w:cs="Times New Roman" w:eastAsia="標楷體"/>
          <w:szCs w:val="24"/>
        </w:rPr>
        <w:t>對世界的影響力，一起改變世界，一起拯救世界吧</w:t>
      </w:r>
      <w:r>
        <w:rPr>
          <w:rStyle w:val="Style14"/>
          <w:rFonts w:eastAsia="標楷體" w:cs="Times New Roman" w:ascii="標楷體" w:hAnsi="標楷體"/>
          <w:szCs w:val="24"/>
        </w:rPr>
        <w:t>!!</w:t>
      </w:r>
    </w:p>
    <w:p>
      <w:pPr>
        <w:pStyle w:val="Style22"/>
        <w:ind w:left="960" w:right="259" w:hanging="0"/>
        <w:rPr>
          <w:rFonts w:ascii="標楷體" w:hAnsi="標楷體" w:eastAsia="標楷體" w:cs="Times New Roman"/>
          <w:szCs w:val="24"/>
        </w:rPr>
      </w:pPr>
      <w:r>
        <w:rPr>
          <w:rFonts w:ascii="標楷體" w:hAnsi="標楷體" w:cs="Times New Roman" w:eastAsia="標楷體"/>
          <w:szCs w:val="24"/>
        </w:rPr>
        <w:t>公民與社會學科中心邀請玩轉學校講師群帶領大家體驗由玩轉學校研發的議題式遊戲、</w:t>
      </w:r>
      <w:r>
        <w:rPr>
          <w:rFonts w:eastAsia="標楷體" w:cs="Times New Roman" w:ascii="標楷體" w:hAnsi="標楷體"/>
          <w:szCs w:val="24"/>
        </w:rPr>
        <w:t>PLEY</w:t>
      </w:r>
      <w:r>
        <w:rPr>
          <w:rFonts w:ascii="標楷體" w:hAnsi="標楷體" w:cs="Times New Roman" w:eastAsia="標楷體"/>
          <w:szCs w:val="24"/>
        </w:rPr>
        <w:t>玩轉教學四大原則、討論引導反思，獲得創新教學的啟發，重燃學生的學習動機與多元思考，一同探究</w:t>
      </w:r>
      <w:r>
        <w:rPr>
          <w:rFonts w:eastAsia="標楷體" w:cs="Times New Roman" w:ascii="標楷體" w:hAnsi="標楷體"/>
          <w:szCs w:val="24"/>
        </w:rPr>
        <w:t>KOL</w:t>
      </w:r>
      <w:r>
        <w:rPr>
          <w:rFonts w:ascii="標楷體" w:hAnsi="標楷體" w:cs="Times New Roman" w:eastAsia="標楷體"/>
          <w:szCs w:val="24"/>
        </w:rPr>
        <w:t>對永續發展的世界會有甚麼樣的影響，歡迎社會科教師共同參與！為使桌遊體驗能順利進行，名額有限，請速報名</w:t>
      </w:r>
      <w:r>
        <w:rPr>
          <w:rFonts w:eastAsia="標楷體" w:cs="Times New Roman" w:ascii="標楷體" w:hAnsi="標楷體"/>
          <w:szCs w:val="24"/>
        </w:rPr>
        <w:t>!</w:t>
      </w:r>
    </w:p>
    <w:p>
      <w:pPr>
        <w:pStyle w:val="Style22"/>
        <w:numPr>
          <w:ilvl w:val="0"/>
          <w:numId w:val="1"/>
        </w:numPr>
        <w:spacing w:before="120" w:after="0"/>
        <w:ind w:left="425" w:hanging="0"/>
        <w:rPr>
          <w:rFonts w:ascii="標楷體" w:hAnsi="標楷體" w:eastAsia="標楷體" w:cs="Times New Roman"/>
          <w:b/>
          <w:b/>
          <w:sz w:val="26"/>
          <w:szCs w:val="26"/>
        </w:rPr>
      </w:pPr>
      <w:r>
        <w:rPr>
          <w:rFonts w:ascii="標楷體" w:hAnsi="標楷體" w:cs="Times New Roman" w:eastAsia="標楷體"/>
          <w:b/>
          <w:sz w:val="26"/>
          <w:szCs w:val="26"/>
        </w:rPr>
        <w:t>辦理單位</w:t>
      </w:r>
    </w:p>
    <w:p>
      <w:pPr>
        <w:pStyle w:val="Style22"/>
        <w:numPr>
          <w:ilvl w:val="1"/>
          <w:numId w:val="1"/>
        </w:numPr>
        <w:ind w:left="1276" w:hanging="0"/>
        <w:rPr/>
      </w:pPr>
      <w:r>
        <w:rPr>
          <w:rStyle w:val="Style14"/>
          <w:rFonts w:ascii="標楷體" w:hAnsi="標楷體" w:cs="Times New Roman" w:eastAsia="標楷體"/>
          <w:szCs w:val="24"/>
        </w:rPr>
        <w:t>指導單位：</w:t>
      </w:r>
      <w:r>
        <w:rPr>
          <w:rStyle w:val="Style14"/>
          <w:rFonts w:ascii="標楷體" w:hAnsi="標楷體" w:eastAsia="標楷體"/>
          <w:bCs/>
          <w:szCs w:val="24"/>
        </w:rPr>
        <w:t>教育部國民及學前教育署</w:t>
      </w:r>
    </w:p>
    <w:p>
      <w:pPr>
        <w:pStyle w:val="Style22"/>
        <w:numPr>
          <w:ilvl w:val="1"/>
          <w:numId w:val="1"/>
        </w:numPr>
        <w:ind w:left="1276" w:hanging="0"/>
        <w:rPr>
          <w:rFonts w:ascii="標楷體" w:hAnsi="標楷體" w:eastAsia="標楷體" w:cs="Times New Roman"/>
          <w:szCs w:val="24"/>
        </w:rPr>
      </w:pPr>
      <w:r>
        <w:rPr>
          <w:rFonts w:ascii="標楷體" w:hAnsi="標楷體" w:cs="Times New Roman" w:eastAsia="標楷體"/>
          <w:szCs w:val="24"/>
        </w:rPr>
        <w:t>主辦單位：公民與社會學科中心學校－國立臺南第一高級中學</w:t>
      </w:r>
    </w:p>
    <w:p>
      <w:pPr>
        <w:pStyle w:val="Style22"/>
        <w:numPr>
          <w:ilvl w:val="0"/>
          <w:numId w:val="1"/>
        </w:numPr>
        <w:spacing w:before="120" w:after="0"/>
        <w:ind w:left="425" w:hanging="0"/>
        <w:rPr>
          <w:rFonts w:ascii="標楷體" w:hAnsi="標楷體" w:eastAsia="標楷體" w:cs="Times New Roman"/>
          <w:b/>
          <w:b/>
          <w:sz w:val="26"/>
          <w:szCs w:val="26"/>
        </w:rPr>
      </w:pPr>
      <w:r>
        <w:rPr>
          <w:rFonts w:ascii="標楷體" w:hAnsi="標楷體" w:cs="Times New Roman" w:eastAsia="標楷體"/>
          <w:b/>
          <w:sz w:val="26"/>
          <w:szCs w:val="26"/>
        </w:rPr>
        <w:t>辦理內容</w:t>
      </w:r>
    </w:p>
    <w:p>
      <w:pPr>
        <w:pStyle w:val="Style21"/>
        <w:widowControl/>
        <w:spacing w:lineRule="exact" w:line="360"/>
        <w:ind w:left="2410" w:hanging="1680"/>
        <w:rPr>
          <w:rFonts w:ascii="標楷體" w:hAnsi="標楷體" w:eastAsia="標楷體" w:cs="新細明體"/>
          <w:szCs w:val="24"/>
        </w:rPr>
      </w:pPr>
      <w:r>
        <w:rPr>
          <w:rFonts w:ascii="標楷體" w:hAnsi="標楷體" w:cs="新細明體" w:eastAsia="標楷體"/>
          <w:szCs w:val="24"/>
        </w:rPr>
        <w:t>一、參加對象：雲林縣、南投縣市、嘉義縣市、臺南市、高雄市、屏東縣市公私立高中職公民與社會科教師。依報名先後順序錄取，錄取名額以</w:t>
      </w:r>
      <w:r>
        <w:rPr>
          <w:rFonts w:eastAsia="標楷體" w:cs="新細明體" w:ascii="標楷體" w:hAnsi="標楷體"/>
          <w:szCs w:val="24"/>
        </w:rPr>
        <w:t>36</w:t>
      </w:r>
      <w:r>
        <w:rPr>
          <w:rFonts w:ascii="標楷體" w:hAnsi="標楷體" w:cs="新細明體" w:eastAsia="標楷體"/>
          <w:szCs w:val="24"/>
        </w:rPr>
        <w:t>名為限。</w:t>
      </w:r>
    </w:p>
    <w:p>
      <w:pPr>
        <w:pStyle w:val="Style21"/>
        <w:widowControl/>
        <w:spacing w:lineRule="exact" w:line="360"/>
        <w:ind w:left="2410" w:hanging="1680"/>
        <w:rPr>
          <w:rFonts w:ascii="標楷體" w:hAnsi="標楷體" w:eastAsia="標楷體" w:cs="新細明體"/>
          <w:szCs w:val="24"/>
        </w:rPr>
      </w:pPr>
      <w:r>
        <w:rPr>
          <w:rFonts w:ascii="標楷體" w:hAnsi="標楷體" w:cs="新細明體" w:eastAsia="標楷體"/>
          <w:szCs w:val="24"/>
        </w:rPr>
        <w:t>二、時間：</w:t>
      </w:r>
      <w:r>
        <w:rPr>
          <w:rFonts w:eastAsia="標楷體" w:cs="新細明體" w:ascii="標楷體" w:hAnsi="標楷體"/>
          <w:szCs w:val="24"/>
        </w:rPr>
        <w:t>111</w:t>
      </w:r>
      <w:r>
        <w:rPr>
          <w:rFonts w:ascii="標楷體" w:hAnsi="標楷體" w:cs="新細明體" w:eastAsia="標楷體"/>
          <w:szCs w:val="24"/>
        </w:rPr>
        <w:t>年</w:t>
      </w:r>
      <w:r>
        <w:rPr>
          <w:rFonts w:eastAsia="標楷體" w:cs="新細明體" w:ascii="標楷體" w:hAnsi="標楷體"/>
          <w:szCs w:val="24"/>
        </w:rPr>
        <w:t>4</w:t>
      </w:r>
      <w:r>
        <w:rPr>
          <w:rFonts w:ascii="標楷體" w:hAnsi="標楷體" w:cs="新細明體" w:eastAsia="標楷體"/>
          <w:szCs w:val="24"/>
        </w:rPr>
        <w:t>月</w:t>
      </w:r>
      <w:r>
        <w:rPr>
          <w:rFonts w:eastAsia="標楷體" w:cs="新細明體" w:ascii="標楷體" w:hAnsi="標楷體"/>
          <w:szCs w:val="24"/>
        </w:rPr>
        <w:t>28</w:t>
      </w:r>
      <w:r>
        <w:rPr>
          <w:rFonts w:ascii="標楷體" w:hAnsi="標楷體" w:cs="新細明體" w:eastAsia="標楷體"/>
          <w:szCs w:val="24"/>
        </w:rPr>
        <w:t>日（週四）下午</w:t>
      </w:r>
      <w:r>
        <w:rPr>
          <w:rFonts w:eastAsia="標楷體" w:cs="新細明體" w:ascii="標楷體" w:hAnsi="標楷體"/>
          <w:szCs w:val="24"/>
        </w:rPr>
        <w:t>1</w:t>
      </w:r>
      <w:r>
        <w:rPr>
          <w:rFonts w:ascii="標楷體" w:hAnsi="標楷體" w:cs="新細明體" w:eastAsia="標楷體"/>
          <w:szCs w:val="24"/>
        </w:rPr>
        <w:t>時</w:t>
      </w:r>
      <w:r>
        <w:rPr>
          <w:rFonts w:eastAsia="標楷體" w:cs="新細明體" w:ascii="標楷體" w:hAnsi="標楷體"/>
          <w:szCs w:val="24"/>
        </w:rPr>
        <w:t>30</w:t>
      </w:r>
      <w:r>
        <w:rPr>
          <w:rFonts w:ascii="標楷體" w:hAnsi="標楷體" w:cs="新細明體" w:eastAsia="標楷體"/>
          <w:szCs w:val="24"/>
        </w:rPr>
        <w:t>分至</w:t>
      </w:r>
      <w:r>
        <w:rPr>
          <w:rFonts w:eastAsia="標楷體" w:cs="新細明體" w:ascii="標楷體" w:hAnsi="標楷體"/>
          <w:szCs w:val="24"/>
        </w:rPr>
        <w:t>5</w:t>
      </w:r>
      <w:r>
        <w:rPr>
          <w:rFonts w:ascii="標楷體" w:hAnsi="標楷體" w:cs="新細明體" w:eastAsia="標楷體"/>
          <w:szCs w:val="24"/>
        </w:rPr>
        <w:t>時</w:t>
      </w:r>
      <w:r>
        <w:rPr>
          <w:rFonts w:eastAsia="標楷體" w:cs="新細明體" w:ascii="標楷體" w:hAnsi="標楷體"/>
          <w:szCs w:val="24"/>
        </w:rPr>
        <w:t>30</w:t>
      </w:r>
      <w:r>
        <w:rPr>
          <w:rFonts w:ascii="標楷體" w:hAnsi="標楷體" w:cs="新細明體" w:eastAsia="標楷體"/>
          <w:szCs w:val="24"/>
        </w:rPr>
        <w:t>分。</w:t>
      </w:r>
    </w:p>
    <w:p>
      <w:pPr>
        <w:pStyle w:val="Style21"/>
        <w:widowControl/>
        <w:spacing w:lineRule="exact" w:line="360"/>
        <w:ind w:left="2410" w:hanging="1680"/>
        <w:rPr>
          <w:rFonts w:ascii="標楷體" w:hAnsi="標楷體" w:eastAsia="標楷體" w:cs="新細明體"/>
          <w:szCs w:val="24"/>
        </w:rPr>
      </w:pPr>
      <w:r>
        <w:rPr>
          <w:rFonts w:ascii="標楷體" w:hAnsi="標楷體" w:cs="新細明體" w:eastAsia="標楷體"/>
          <w:szCs w:val="24"/>
        </w:rPr>
        <w:t>三、報名方式：請至全國教師在職進修網</w:t>
      </w:r>
      <w:r>
        <w:rPr>
          <w:rFonts w:eastAsia="標楷體" w:cs="新細明體" w:ascii="標楷體" w:hAnsi="標楷體"/>
          <w:szCs w:val="24"/>
        </w:rPr>
        <w:t>http://www3.inservice.edu.tw/</w:t>
      </w:r>
      <w:r>
        <w:rPr>
          <w:rFonts w:ascii="標楷體" w:hAnsi="標楷體" w:cs="新細明體" w:eastAsia="標楷體"/>
          <w:szCs w:val="24"/>
        </w:rPr>
        <w:t>，依課程代碼搜尋。本次研習原則上採實體工作坊方式，研習前三日恕不受理取消報名，亦不接受現場報名。</w:t>
      </w:r>
    </w:p>
    <w:p>
      <w:pPr>
        <w:pStyle w:val="Style21"/>
        <w:widowControl/>
        <w:spacing w:lineRule="exact" w:line="360"/>
        <w:ind w:left="2410" w:hanging="1680"/>
        <w:rPr>
          <w:rFonts w:ascii="標楷體" w:hAnsi="標楷體" w:eastAsia="標楷體" w:cs="新細明體"/>
          <w:szCs w:val="24"/>
        </w:rPr>
      </w:pPr>
      <w:r>
        <w:rPr>
          <w:rFonts w:ascii="標楷體" w:hAnsi="標楷體" w:cs="新細明體" w:eastAsia="標楷體"/>
          <w:szCs w:val="24"/>
        </w:rPr>
        <w:t>四、研習地點：國立臺南一中 人文教育大樓 公民與社會專科教室</w:t>
      </w:r>
    </w:p>
    <w:p>
      <w:pPr>
        <w:pStyle w:val="Style21"/>
        <w:widowControl/>
        <w:spacing w:lineRule="exact" w:line="360"/>
        <w:ind w:left="2410" w:hanging="1680"/>
        <w:rPr>
          <w:rFonts w:ascii="標楷體" w:hAnsi="標楷體" w:eastAsia="標楷體" w:cs="新細明體"/>
          <w:szCs w:val="24"/>
        </w:rPr>
      </w:pPr>
      <w:r>
        <w:rPr>
          <w:rFonts w:ascii="標楷體" w:hAnsi="標楷體" w:cs="新細明體" w:eastAsia="標楷體"/>
          <w:szCs w:val="24"/>
        </w:rPr>
        <w:t>五、注意事項：</w:t>
      </w:r>
    </w:p>
    <w:p>
      <w:pPr>
        <w:pStyle w:val="Style25"/>
        <w:numPr>
          <w:ilvl w:val="0"/>
          <w:numId w:val="2"/>
        </w:numPr>
        <w:tabs>
          <w:tab w:val="left" w:pos="-425" w:leader="none"/>
        </w:tabs>
        <w:spacing w:lineRule="exact" w:line="400"/>
        <w:ind w:left="1418" w:hanging="0"/>
        <w:jc w:val="both"/>
        <w:rPr>
          <w:sz w:val="24"/>
        </w:rPr>
      </w:pPr>
      <w:r>
        <w:rPr>
          <w:sz w:val="24"/>
        </w:rPr>
        <w:t>因應校內工程施工，恕不開放停車如造成不便請見諒。搭乘火車：台南火車站</w:t>
      </w:r>
      <w:r>
        <w:rPr>
          <w:sz w:val="24"/>
        </w:rPr>
        <w:t>(</w:t>
      </w:r>
      <w:r>
        <w:rPr>
          <w:sz w:val="24"/>
        </w:rPr>
        <w:t>後站</w:t>
      </w:r>
      <w:r>
        <w:rPr>
          <w:sz w:val="24"/>
        </w:rPr>
        <w:t>)</w:t>
      </w:r>
      <w:r>
        <w:rPr>
          <w:sz w:val="24"/>
        </w:rPr>
        <w:t>，步行</w:t>
      </w:r>
      <w:r>
        <w:rPr>
          <w:sz w:val="24"/>
        </w:rPr>
        <w:t>550</w:t>
      </w:r>
      <w:r>
        <w:rPr>
          <w:sz w:val="24"/>
        </w:rPr>
        <w:t>公尺約</w:t>
      </w:r>
      <w:r>
        <w:rPr>
          <w:sz w:val="24"/>
        </w:rPr>
        <w:t>7</w:t>
      </w:r>
      <w:r>
        <w:rPr>
          <w:sz w:val="24"/>
        </w:rPr>
        <w:t>分鐘。</w:t>
      </w:r>
    </w:p>
    <w:p>
      <w:pPr>
        <w:pStyle w:val="Style25"/>
        <w:numPr>
          <w:ilvl w:val="0"/>
          <w:numId w:val="2"/>
        </w:numPr>
        <w:tabs>
          <w:tab w:val="left" w:pos="-425" w:leader="none"/>
        </w:tabs>
        <w:spacing w:lineRule="exact" w:line="400"/>
        <w:ind w:left="1418" w:hanging="0"/>
        <w:jc w:val="both"/>
        <w:rPr>
          <w:sz w:val="24"/>
        </w:rPr>
      </w:pPr>
      <w:r>
        <w:rPr>
          <w:sz w:val="24"/>
        </w:rPr>
        <w:t>請與會教師於課程結束後填寫回饋問卷</w:t>
      </w:r>
      <w:r>
        <w:rPr>
          <w:sz w:val="24"/>
        </w:rPr>
        <w:t>(</w:t>
      </w:r>
      <w:r>
        <w:rPr>
          <w:sz w:val="24"/>
        </w:rPr>
        <w:t>連結於研習結束後提供</w:t>
      </w:r>
      <w:r>
        <w:rPr>
          <w:sz w:val="24"/>
        </w:rPr>
        <w:t>)</w:t>
      </w:r>
      <w:r>
        <w:rPr>
          <w:sz w:val="24"/>
        </w:rPr>
        <w:t>，以利中心核發研習時數，全程參與者核予研習時數</w:t>
      </w:r>
      <w:r>
        <w:rPr>
          <w:sz w:val="24"/>
        </w:rPr>
        <w:t>4</w:t>
      </w:r>
      <w:r>
        <w:rPr>
          <w:sz w:val="24"/>
        </w:rPr>
        <w:t>小時。</w:t>
      </w:r>
    </w:p>
    <w:p>
      <w:pPr>
        <w:pStyle w:val="Style25"/>
        <w:numPr>
          <w:ilvl w:val="0"/>
          <w:numId w:val="2"/>
        </w:numPr>
        <w:tabs>
          <w:tab w:val="left" w:pos="-425" w:leader="none"/>
        </w:tabs>
        <w:spacing w:lineRule="exact" w:line="400"/>
        <w:ind w:left="1418" w:hanging="0"/>
        <w:jc w:val="both"/>
        <w:rPr>
          <w:sz w:val="24"/>
        </w:rPr>
      </w:pPr>
      <w:r>
        <w:rPr>
          <w:sz w:val="24"/>
        </w:rPr>
        <w:t>基於個資法與智財權的考量，與會教師請勿錄音、翻拍。本研習課程內容與課程資料，經講師同意並授權後，另置放於學科中心資源平台，提供老師們參考使用。</w:t>
      </w:r>
    </w:p>
    <w:p>
      <w:pPr>
        <w:pStyle w:val="Style25"/>
        <w:numPr>
          <w:ilvl w:val="0"/>
          <w:numId w:val="2"/>
        </w:numPr>
        <w:tabs>
          <w:tab w:val="left" w:pos="-425" w:leader="none"/>
        </w:tabs>
        <w:spacing w:lineRule="exact" w:line="400"/>
        <w:ind w:left="1418" w:hanging="0"/>
        <w:jc w:val="both"/>
        <w:rPr>
          <w:sz w:val="24"/>
        </w:rPr>
      </w:pPr>
      <w:r>
        <w:rPr>
          <w:sz w:val="24"/>
        </w:rPr>
        <w:t>若因防疫政策而須調整研習方式與時間，請留意報名信箱的信件通知。</w:t>
      </w:r>
    </w:p>
    <w:p>
      <w:pPr>
        <w:pStyle w:val="Style25"/>
        <w:numPr>
          <w:ilvl w:val="0"/>
          <w:numId w:val="2"/>
        </w:numPr>
        <w:tabs>
          <w:tab w:val="left" w:pos="-425" w:leader="none"/>
        </w:tabs>
        <w:spacing w:lineRule="exact" w:line="400"/>
        <w:ind w:left="1418" w:hanging="0"/>
        <w:jc w:val="both"/>
        <w:rPr>
          <w:sz w:val="24"/>
        </w:rPr>
      </w:pPr>
      <w:r>
        <w:rPr>
          <w:sz w:val="24"/>
        </w:rPr>
        <w:t>六、聯絡人：公民與社會學科中心助理 顏淳妮小姐，電話</w:t>
      </w:r>
      <w:r>
        <w:rPr>
          <w:sz w:val="24"/>
        </w:rPr>
        <w:t>06-2371206#601</w:t>
      </w:r>
      <w:r>
        <w:rPr>
          <w:sz w:val="24"/>
        </w:rPr>
        <w:t>，電子郵件</w:t>
      </w:r>
    </w:p>
    <w:p>
      <w:pPr>
        <w:pStyle w:val="Style25"/>
        <w:tabs>
          <w:tab w:val="left" w:pos="-1842" w:leader="none"/>
        </w:tabs>
        <w:spacing w:lineRule="exact" w:line="400"/>
        <w:ind w:left="2835" w:hanging="0"/>
        <w:jc w:val="both"/>
        <w:rPr>
          <w:sz w:val="24"/>
        </w:rPr>
      </w:pPr>
      <w:r>
        <w:rPr>
          <w:sz w:val="24"/>
        </w:rPr>
        <w:t>chunni@gm.tnfsh.tn.edu.tw</w:t>
      </w:r>
      <w:r>
        <w:br w:type="page"/>
      </w:r>
    </w:p>
    <w:p>
      <w:pPr>
        <w:pStyle w:val="Style25"/>
        <w:tabs>
          <w:tab w:val="left" w:pos="993" w:leader="none"/>
        </w:tabs>
        <w:spacing w:lineRule="exact" w:line="400"/>
        <w:jc w:val="both"/>
        <w:rPr/>
      </w:pPr>
      <w:r>
        <w:rPr/>
      </w:r>
    </w:p>
    <w:p>
      <w:pPr>
        <w:pStyle w:val="Style22"/>
        <w:numPr>
          <w:ilvl w:val="0"/>
          <w:numId w:val="1"/>
        </w:numPr>
        <w:spacing w:before="120" w:after="0"/>
        <w:ind w:left="425" w:hanging="0"/>
        <w:rPr>
          <w:rFonts w:ascii="標楷體" w:hAnsi="標楷體" w:eastAsia="標楷體" w:cs="Times New Roman"/>
          <w:b/>
          <w:b/>
          <w:sz w:val="26"/>
          <w:szCs w:val="26"/>
        </w:rPr>
      </w:pPr>
      <w:r>
        <w:rPr>
          <w:rFonts w:ascii="標楷體" w:hAnsi="標楷體" w:cs="Times New Roman" w:eastAsia="標楷體"/>
          <w:b/>
          <w:sz w:val="26"/>
          <w:szCs w:val="26"/>
        </w:rPr>
        <w:t>課程時間及內容</w:t>
      </w:r>
    </w:p>
    <w:p>
      <w:pPr>
        <w:pStyle w:val="Style22"/>
        <w:spacing w:before="120" w:after="0"/>
        <w:ind w:left="425" w:hanging="0"/>
        <w:rPr/>
      </w:pPr>
      <w:r>
        <w:rPr/>
        <w:drawing>
          <wp:anchor behindDoc="0" distT="0" distB="0" distL="0" distR="0" simplePos="0" locked="0" layoutInCell="1" allowOverlap="1" relativeHeight="2">
            <wp:simplePos x="0" y="0"/>
            <wp:positionH relativeFrom="column">
              <wp:posOffset>238125</wp:posOffset>
            </wp:positionH>
            <wp:positionV relativeFrom="paragraph">
              <wp:posOffset>2229485</wp:posOffset>
            </wp:positionV>
            <wp:extent cx="6219825" cy="3213100"/>
            <wp:effectExtent l="0" t="0" r="0" b="0"/>
            <wp:wrapSquare wrapText="bothSides"/>
            <wp:docPr id="1" name="Picture 2" descr="C:\Users\user\AppData\Local\Microsoft\Windows\INetCache\Content.Word\11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user\AppData\Local\Microsoft\Windows\INetCache\Content.Word\1110428.jpg"/>
                    <pic:cNvPicPr>
                      <a:picLocks noChangeAspect="1" noChangeArrowheads="1"/>
                    </pic:cNvPicPr>
                  </pic:nvPicPr>
                  <pic:blipFill>
                    <a:blip r:embed="rId2"/>
                    <a:stretch>
                      <a:fillRect/>
                    </a:stretch>
                  </pic:blipFill>
                  <pic:spPr bwMode="auto">
                    <a:xfrm>
                      <a:off x="0" y="0"/>
                      <a:ext cx="6219825" cy="3213100"/>
                    </a:xfrm>
                    <a:prstGeom prst="rect">
                      <a:avLst/>
                    </a:prstGeom>
                  </pic:spPr>
                </pic:pic>
              </a:graphicData>
            </a:graphic>
          </wp:anchor>
        </w:drawing>
      </w:r>
    </w:p>
    <w:tbl>
      <w:tblPr>
        <w:tblW w:w="97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1559"/>
        <w:gridCol w:w="3827"/>
        <w:gridCol w:w="4409"/>
      </w:tblGrid>
      <w:tr>
        <w:trPr>
          <w:trHeight w:val="370" w:hRule="atLeast"/>
        </w:trPr>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5"/>
              <w:spacing w:lineRule="auto"/>
              <w:jc w:val="center"/>
              <w:rPr>
                <w:rFonts w:ascii="標楷體" w:hAnsi="標楷體"/>
                <w:b/>
                <w:b/>
                <w:bCs/>
                <w:sz w:val="24"/>
                <w:szCs w:val="24"/>
              </w:rPr>
            </w:pPr>
            <w:r>
              <w:rPr>
                <w:rFonts w:ascii="標楷體" w:hAnsi="標楷體"/>
                <w:b/>
                <w:bCs/>
                <w:sz w:val="24"/>
                <w:szCs w:val="24"/>
              </w:rPr>
              <w:t>課程時間</w:t>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5"/>
              <w:spacing w:lineRule="auto"/>
              <w:jc w:val="center"/>
              <w:rPr>
                <w:rFonts w:ascii="標楷體" w:hAnsi="標楷體"/>
                <w:b/>
                <w:b/>
                <w:bCs/>
                <w:sz w:val="24"/>
                <w:szCs w:val="24"/>
              </w:rPr>
            </w:pPr>
            <w:r>
              <w:rPr>
                <w:rFonts w:ascii="標楷體" w:hAnsi="標楷體"/>
                <w:b/>
                <w:bCs/>
                <w:sz w:val="24"/>
                <w:szCs w:val="24"/>
              </w:rPr>
              <w:t>課程內容</w:t>
            </w:r>
          </w:p>
        </w:tc>
        <w:tc>
          <w:tcPr>
            <w:tcW w:w="44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5"/>
              <w:spacing w:lineRule="auto"/>
              <w:jc w:val="center"/>
              <w:rPr>
                <w:rFonts w:ascii="標楷體" w:hAnsi="標楷體"/>
                <w:b/>
                <w:b/>
                <w:bCs/>
                <w:sz w:val="24"/>
                <w:szCs w:val="24"/>
              </w:rPr>
            </w:pPr>
            <w:r>
              <w:rPr>
                <w:rFonts w:ascii="標楷體" w:hAnsi="標楷體"/>
                <w:b/>
                <w:bCs/>
                <w:sz w:val="24"/>
                <w:szCs w:val="24"/>
              </w:rPr>
              <w:t>主講者</w:t>
            </w:r>
          </w:p>
        </w:tc>
      </w:tr>
      <w:tr>
        <w:trPr>
          <w:trHeight w:val="346" w:hRule="atLeast"/>
        </w:trPr>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pPr>
            <w:r>
              <w:rPr>
                <w:rStyle w:val="Style14"/>
                <w:rFonts w:ascii="標楷體" w:hAnsi="標楷體"/>
                <w:sz w:val="24"/>
                <w:szCs w:val="24"/>
              </w:rPr>
              <w:t>13:20~13:30</w:t>
            </w:r>
          </w:p>
        </w:tc>
        <w:tc>
          <w:tcPr>
            <w:tcW w:w="823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bCs/>
                <w:sz w:val="24"/>
                <w:szCs w:val="24"/>
              </w:rPr>
            </w:pPr>
            <w:r>
              <w:rPr>
                <w:rFonts w:ascii="標楷體" w:hAnsi="標楷體"/>
                <w:bCs/>
                <w:sz w:val="24"/>
                <w:szCs w:val="24"/>
              </w:rPr>
              <w:t>報到</w:t>
            </w:r>
          </w:p>
        </w:tc>
      </w:tr>
      <w:tr>
        <w:trPr>
          <w:trHeight w:val="370" w:hRule="atLeast"/>
        </w:trPr>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13:30~15:00</w:t>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玩轉教學議題探討</w:t>
            </w:r>
          </w:p>
        </w:tc>
        <w:tc>
          <w:tcPr>
            <w:tcW w:w="44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講師：陳何合</w:t>
            </w:r>
            <w:r>
              <w:rPr>
                <w:rFonts w:ascii="標楷體" w:hAnsi="標楷體"/>
                <w:sz w:val="24"/>
                <w:szCs w:val="24"/>
              </w:rPr>
              <w:t>(</w:t>
            </w:r>
            <w:r>
              <w:rPr>
                <w:rFonts w:ascii="標楷體" w:hAnsi="標楷體"/>
                <w:sz w:val="24"/>
                <w:szCs w:val="24"/>
              </w:rPr>
              <w:t>玩轉學校</w:t>
            </w:r>
            <w:r>
              <w:rPr>
                <w:rFonts w:ascii="標楷體" w:hAnsi="標楷體"/>
                <w:sz w:val="24"/>
                <w:szCs w:val="24"/>
              </w:rPr>
              <w:t>)</w:t>
            </w:r>
          </w:p>
          <w:p>
            <w:pPr>
              <w:pStyle w:val="Style25"/>
              <w:spacing w:lineRule="auto"/>
              <w:jc w:val="center"/>
              <w:rPr>
                <w:rFonts w:ascii="標楷體" w:hAnsi="標楷體"/>
                <w:sz w:val="24"/>
                <w:szCs w:val="24"/>
              </w:rPr>
            </w:pPr>
            <w:r>
              <w:rPr>
                <w:rFonts w:ascii="標楷體" w:hAnsi="標楷體"/>
                <w:sz w:val="24"/>
                <w:szCs w:val="24"/>
              </w:rPr>
              <w:t>助教：汪竹筠</w:t>
            </w:r>
            <w:r>
              <w:rPr>
                <w:rFonts w:ascii="標楷體" w:hAnsi="標楷體"/>
                <w:sz w:val="24"/>
                <w:szCs w:val="24"/>
              </w:rPr>
              <w:t>(</w:t>
            </w:r>
            <w:r>
              <w:rPr>
                <w:rFonts w:ascii="標楷體" w:hAnsi="標楷體"/>
                <w:sz w:val="24"/>
                <w:szCs w:val="24"/>
              </w:rPr>
              <w:t>玩轉學校</w:t>
            </w:r>
            <w:r>
              <w:rPr>
                <w:rFonts w:ascii="標楷體" w:hAnsi="標楷體"/>
                <w:sz w:val="24"/>
                <w:szCs w:val="24"/>
              </w:rPr>
              <w:t>)</w:t>
            </w:r>
          </w:p>
        </w:tc>
      </w:tr>
      <w:tr>
        <w:trPr>
          <w:trHeight w:val="370" w:hRule="atLeast"/>
        </w:trPr>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15:00~15:10</w:t>
            </w:r>
          </w:p>
        </w:tc>
        <w:tc>
          <w:tcPr>
            <w:tcW w:w="823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茶敘</w:t>
            </w:r>
          </w:p>
        </w:tc>
      </w:tr>
      <w:tr>
        <w:trPr>
          <w:trHeight w:val="370" w:hRule="atLeast"/>
        </w:trPr>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15:10~16:40</w:t>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玩轉議題式桌遊</w:t>
            </w:r>
            <w:r>
              <w:rPr>
                <w:rFonts w:ascii="標楷體" w:hAnsi="標楷體"/>
                <w:sz w:val="24"/>
                <w:szCs w:val="24"/>
              </w:rPr>
              <w:t>KOL</w:t>
            </w:r>
            <w:r>
              <w:rPr>
                <w:rFonts w:ascii="標楷體" w:hAnsi="標楷體"/>
                <w:sz w:val="24"/>
                <w:szCs w:val="24"/>
              </w:rPr>
              <w:t>實作體驗</w:t>
            </w:r>
          </w:p>
        </w:tc>
        <w:tc>
          <w:tcPr>
            <w:tcW w:w="44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講師：陳何合</w:t>
            </w:r>
            <w:r>
              <w:rPr>
                <w:rFonts w:ascii="標楷體" w:hAnsi="標楷體"/>
                <w:sz w:val="24"/>
                <w:szCs w:val="24"/>
              </w:rPr>
              <w:t>(</w:t>
            </w:r>
            <w:r>
              <w:rPr>
                <w:rFonts w:ascii="標楷體" w:hAnsi="標楷體"/>
                <w:sz w:val="24"/>
                <w:szCs w:val="24"/>
              </w:rPr>
              <w:t>玩轉學校</w:t>
            </w:r>
            <w:r>
              <w:rPr>
                <w:rFonts w:ascii="標楷體" w:hAnsi="標楷體"/>
                <w:sz w:val="24"/>
                <w:szCs w:val="24"/>
              </w:rPr>
              <w:t>)</w:t>
            </w:r>
          </w:p>
          <w:p>
            <w:pPr>
              <w:pStyle w:val="Style25"/>
              <w:spacing w:lineRule="auto"/>
              <w:jc w:val="center"/>
              <w:rPr>
                <w:rFonts w:ascii="標楷體" w:hAnsi="標楷體"/>
                <w:sz w:val="24"/>
                <w:szCs w:val="24"/>
              </w:rPr>
            </w:pPr>
            <w:r>
              <w:rPr>
                <w:rFonts w:ascii="標楷體" w:hAnsi="標楷體"/>
                <w:sz w:val="24"/>
                <w:szCs w:val="24"/>
              </w:rPr>
              <w:t>助教：汪竹筠</w:t>
            </w:r>
            <w:r>
              <w:rPr>
                <w:rFonts w:ascii="標楷體" w:hAnsi="標楷體"/>
                <w:sz w:val="24"/>
                <w:szCs w:val="24"/>
              </w:rPr>
              <w:t>(</w:t>
            </w:r>
            <w:r>
              <w:rPr>
                <w:rFonts w:ascii="標楷體" w:hAnsi="標楷體"/>
                <w:sz w:val="24"/>
                <w:szCs w:val="24"/>
              </w:rPr>
              <w:t>玩轉學校</w:t>
            </w:r>
            <w:r>
              <w:rPr>
                <w:rFonts w:ascii="標楷體" w:hAnsi="標楷體"/>
                <w:sz w:val="24"/>
                <w:szCs w:val="24"/>
              </w:rPr>
              <w:t>)</w:t>
            </w:r>
          </w:p>
        </w:tc>
      </w:tr>
      <w:tr>
        <w:trPr>
          <w:trHeight w:val="370" w:hRule="atLeast"/>
        </w:trPr>
        <w:tc>
          <w:tcPr>
            <w:tcW w:w="1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jc w:val="center"/>
              <w:rPr>
                <w:rFonts w:ascii="標楷體" w:hAnsi="標楷體"/>
                <w:sz w:val="24"/>
                <w:szCs w:val="24"/>
              </w:rPr>
            </w:pPr>
            <w:r>
              <w:rPr>
                <w:rFonts w:ascii="標楷體" w:hAnsi="標楷體"/>
                <w:sz w:val="24"/>
                <w:szCs w:val="24"/>
              </w:rPr>
              <w:t>16:40~17:30</w:t>
            </w:r>
          </w:p>
        </w:tc>
        <w:tc>
          <w:tcPr>
            <w:tcW w:w="8236"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spacing w:lineRule="auto"/>
              <w:ind w:left="720" w:hanging="720"/>
              <w:jc w:val="center"/>
              <w:rPr>
                <w:rFonts w:ascii="標楷體" w:hAnsi="標楷體"/>
                <w:bCs/>
                <w:sz w:val="24"/>
                <w:szCs w:val="24"/>
              </w:rPr>
            </w:pPr>
            <w:r>
              <w:rPr>
                <w:rFonts w:ascii="標楷體" w:hAnsi="標楷體"/>
                <w:bCs/>
                <w:sz w:val="24"/>
                <w:szCs w:val="24"/>
              </w:rPr>
              <w:t>綜合座談</w:t>
            </w:r>
          </w:p>
        </w:tc>
      </w:tr>
    </w:tbl>
    <w:p>
      <w:pPr>
        <w:pStyle w:val="Style21"/>
        <w:spacing w:lineRule="exact" w:line="200" w:before="120" w:after="0"/>
        <w:rPr>
          <w:rFonts w:ascii="標楷體" w:hAnsi="標楷體" w:eastAsia="標楷體" w:cs="Times New Roman"/>
          <w:b/>
          <w:b/>
          <w:sz w:val="26"/>
          <w:szCs w:val="26"/>
        </w:rPr>
      </w:pPr>
      <w:r>
        <w:rPr>
          <w:rFonts w:eastAsia="標楷體" w:cs="Times New Roman" w:ascii="標楷體" w:hAnsi="標楷體"/>
          <w:b/>
          <w:sz w:val="26"/>
          <w:szCs w:val="26"/>
        </w:rPr>
      </w:r>
    </w:p>
    <w:sectPr>
      <w:type w:val="nextPage"/>
      <w:pgSz w:w="11906" w:h="16838"/>
      <w:pgMar w:left="720" w:right="720" w:header="0" w:top="720" w:footer="0" w:bottom="720" w:gutter="0"/>
      <w:pgNumType w:fmt="decimal"/>
      <w:formProt w:val="false"/>
      <w:textDirection w:val="lrTb"/>
      <w:docGrid w:type="lines" w:linePitch="600" w:charSpace="429493862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swiss"/>
    <w:pitch w:val="variable"/>
  </w:font>
  <w:font w:name="Times New Roman">
    <w:charset w:val="88"/>
    <w:family w:val="roman"/>
    <w:pitch w:val="variable"/>
  </w:font>
  <w:font w:name="Cambria">
    <w:charset w:val="88"/>
    <w:family w:val="roman"/>
    <w:pitch w:val="variable"/>
  </w:font>
  <w:font w:name="Wingdings">
    <w:charset w:val="02"/>
    <w:family w:val="auto"/>
    <w:pitch w:val="variable"/>
  </w:font>
  <w:font w:name="新細明體">
    <w:charset w:val="88"/>
    <w:family w:val="roman"/>
    <w:pitch w:val="variable"/>
  </w:font>
  <w:font w:name="標楷體">
    <w:charset w:val="88"/>
    <w:family w:val="script"/>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ideographLegalTradition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48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新細明體" w:cs="Times New Roman"/>
        <w:sz w:val="24"/>
        <w:szCs w:val="22"/>
        <w:lang w:val="en-US" w:eastAsia="zh-TW" w:bidi="ar-SA"/>
      </w:rPr>
    </w:rPrDefault>
    <w:pPrDefault>
      <w:pPr>
        <w:widowControl/>
        <w:suppressAutoHyphens w:val="false"/>
      </w:pPr>
    </w:pPrDefault>
  </w:docDefaults>
  <w:style w:type="paragraph" w:styleId="Normal">
    <w:name w:val="Normal"/>
    <w:qFormat/>
    <w:pPr>
      <w:keepNext/>
      <w:keepLines w:val="false"/>
      <w:pageBreakBefore w:val="false"/>
      <w:widowControl/>
      <w:pBdr/>
      <w:shd w:fill="FFFFFF" w:val="clear"/>
      <w:kinsoku w:val="true"/>
      <w:overflowPunct w:val="true"/>
      <w:autoSpaceDE w:val="true"/>
      <w:bidi w:val="0"/>
      <w:snapToGrid w:val="true"/>
      <w:spacing w:lineRule="auto" w:line="240"/>
      <w:jc w:val="left"/>
    </w:pPr>
    <w:rPr>
      <w:rFonts w:ascii="Calibri" w:hAnsi="Calibri" w:eastAsia="新細明體" w:cs="Times New Roman"/>
      <w:b w:val="false"/>
      <w:bCs w:val="false"/>
      <w:i w:val="false"/>
      <w:iCs w:val="false"/>
      <w:caps w:val="false"/>
      <w:smallCaps w:val="false"/>
      <w:strike w:val="false"/>
      <w:dstrike w:val="false"/>
      <w:outline w:val="false"/>
      <w:emboss w:val="false"/>
      <w:imprint w:val="false"/>
      <w:color w:val="auto"/>
      <w:spacing w:val="0"/>
      <w:w w:val="100"/>
      <w:position w:val="0"/>
      <w:sz w:val="24"/>
      <w:sz w:val="24"/>
      <w:szCs w:val="22"/>
      <w:u w:val="none"/>
      <w:vertAlign w:val="baseline"/>
      <w:em w:val="none"/>
      <w:lang w:val="en-US" w:eastAsia="zh-TW" w:bidi="ar-SA"/>
    </w:rPr>
  </w:style>
  <w:style w:type="character" w:styleId="Style14">
    <w:name w:val="預設段落字型"/>
    <w:qFormat/>
    <w:rPr/>
  </w:style>
  <w:style w:type="character" w:styleId="Style15">
    <w:name w:val="頁首 字元"/>
    <w:basedOn w:val="Style14"/>
    <w:qFormat/>
    <w:rPr>
      <w:sz w:val="20"/>
      <w:szCs w:val="20"/>
    </w:rPr>
  </w:style>
  <w:style w:type="character" w:styleId="Style16">
    <w:name w:val="頁尾 字元"/>
    <w:basedOn w:val="Style14"/>
    <w:qFormat/>
    <w:rPr>
      <w:sz w:val="20"/>
      <w:szCs w:val="20"/>
    </w:rPr>
  </w:style>
  <w:style w:type="character" w:styleId="Style17">
    <w:name w:val="超連結"/>
    <w:basedOn w:val="Style14"/>
    <w:qFormat/>
    <w:rPr>
      <w:color w:val="0000FF"/>
      <w:u w:val="single"/>
    </w:rPr>
  </w:style>
  <w:style w:type="character" w:styleId="Style18">
    <w:name w:val="本文 字元"/>
    <w:basedOn w:val="Style14"/>
    <w:qFormat/>
    <w:rPr>
      <w:rFonts w:ascii="Times New Roman" w:hAnsi="Times New Roman" w:eastAsia="標楷體" w:cs="Times New Roman"/>
      <w:sz w:val="32"/>
      <w:szCs w:val="32"/>
    </w:rPr>
  </w:style>
  <w:style w:type="character" w:styleId="Style19">
    <w:name w:val="已查閱的超連結"/>
    <w:basedOn w:val="Style14"/>
    <w:qFormat/>
    <w:rPr>
      <w:color w:val="800080"/>
      <w:u w:val="single"/>
    </w:rPr>
  </w:style>
  <w:style w:type="character" w:styleId="Style20">
    <w:name w:val="註解方塊文字 字元"/>
    <w:basedOn w:val="Style14"/>
    <w:qFormat/>
    <w:rPr>
      <w:rFonts w:ascii="Cambria" w:hAnsi="Cambria" w:eastAsia="新細明體" w:cs="Times New Roman"/>
      <w:sz w:val="18"/>
      <w:szCs w:val="18"/>
    </w:rPr>
  </w:style>
  <w:style w:type="character" w:styleId="WWCharLFO12LVL1">
    <w:name w:val="WW_CharLFO12LVL1"/>
    <w:qFormat/>
    <w:rPr>
      <w:rFonts w:ascii="Wingdings" w:hAnsi="Wingdings"/>
    </w:rPr>
  </w:style>
  <w:style w:type="character" w:styleId="WWCharLFO12LVL2">
    <w:name w:val="WW_CharLFO12LVL2"/>
    <w:qFormat/>
    <w:rPr>
      <w:rFonts w:ascii="Wingdings" w:hAnsi="Wingdings"/>
    </w:rPr>
  </w:style>
  <w:style w:type="character" w:styleId="WWCharLFO12LVL3">
    <w:name w:val="WW_CharLFO12LVL3"/>
    <w:qFormat/>
    <w:rPr>
      <w:rFonts w:ascii="Wingdings" w:hAnsi="Wingdings"/>
    </w:rPr>
  </w:style>
  <w:style w:type="character" w:styleId="WWCharLFO12LVL4">
    <w:name w:val="WW_CharLFO12LVL4"/>
    <w:qFormat/>
    <w:rPr>
      <w:rFonts w:ascii="Wingdings" w:hAnsi="Wingdings"/>
    </w:rPr>
  </w:style>
  <w:style w:type="character" w:styleId="WWCharLFO12LVL5">
    <w:name w:val="WW_CharLFO12LVL5"/>
    <w:qFormat/>
    <w:rPr>
      <w:rFonts w:ascii="Wingdings" w:hAnsi="Wingdings"/>
    </w:rPr>
  </w:style>
  <w:style w:type="character" w:styleId="WWCharLFO12LVL6">
    <w:name w:val="WW_CharLFO12LVL6"/>
    <w:qFormat/>
    <w:rPr>
      <w:rFonts w:ascii="Wingdings" w:hAnsi="Wingdings"/>
    </w:rPr>
  </w:style>
  <w:style w:type="character" w:styleId="WWCharLFO12LVL7">
    <w:name w:val="WW_CharLFO12LVL7"/>
    <w:qFormat/>
    <w:rPr>
      <w:rFonts w:ascii="Wingdings" w:hAnsi="Wingdings"/>
    </w:rPr>
  </w:style>
  <w:style w:type="character" w:styleId="WWCharLFO12LVL8">
    <w:name w:val="WW_CharLFO12LVL8"/>
    <w:qFormat/>
    <w:rPr>
      <w:rFonts w:ascii="Wingdings" w:hAnsi="Wingdings"/>
    </w:rPr>
  </w:style>
  <w:style w:type="character" w:styleId="WWCharLFO12LVL9">
    <w:name w:val="WW_CharLFO12LVL9"/>
    <w:qFormat/>
    <w:rPr>
      <w:rFonts w:ascii="Wingdings" w:hAnsi="Wingdings"/>
    </w:rPr>
  </w:style>
  <w:style w:type="character" w:styleId="WWCharLFO21LVL1">
    <w:name w:val="WW_CharLFO21LVL1"/>
    <w:qFormat/>
    <w:rPr>
      <w:rFonts w:ascii="Wingdings" w:hAnsi="Wingdings"/>
    </w:rPr>
  </w:style>
  <w:style w:type="character" w:styleId="WWCharLFO21LVL2">
    <w:name w:val="WW_CharLFO21LVL2"/>
    <w:qFormat/>
    <w:rPr>
      <w:rFonts w:ascii="Wingdings" w:hAnsi="Wingdings"/>
    </w:rPr>
  </w:style>
  <w:style w:type="character" w:styleId="WWCharLFO21LVL3">
    <w:name w:val="WW_CharLFO21LVL3"/>
    <w:qFormat/>
    <w:rPr>
      <w:rFonts w:ascii="Wingdings" w:hAnsi="Wingdings"/>
    </w:rPr>
  </w:style>
  <w:style w:type="character" w:styleId="WWCharLFO21LVL4">
    <w:name w:val="WW_CharLFO21LVL4"/>
    <w:qFormat/>
    <w:rPr>
      <w:rFonts w:ascii="Wingdings" w:hAnsi="Wingdings"/>
    </w:rPr>
  </w:style>
  <w:style w:type="character" w:styleId="WWCharLFO21LVL5">
    <w:name w:val="WW_CharLFO21LVL5"/>
    <w:qFormat/>
    <w:rPr>
      <w:rFonts w:ascii="Wingdings" w:hAnsi="Wingdings"/>
    </w:rPr>
  </w:style>
  <w:style w:type="character" w:styleId="WWCharLFO21LVL6">
    <w:name w:val="WW_CharLFO21LVL6"/>
    <w:qFormat/>
    <w:rPr>
      <w:rFonts w:ascii="Wingdings" w:hAnsi="Wingdings"/>
    </w:rPr>
  </w:style>
  <w:style w:type="character" w:styleId="WWCharLFO21LVL7">
    <w:name w:val="WW_CharLFO21LVL7"/>
    <w:qFormat/>
    <w:rPr>
      <w:rFonts w:ascii="Wingdings" w:hAnsi="Wingdings"/>
    </w:rPr>
  </w:style>
  <w:style w:type="character" w:styleId="WWCharLFO21LVL8">
    <w:name w:val="WW_CharLFO21LVL8"/>
    <w:qFormat/>
    <w:rPr>
      <w:rFonts w:ascii="Wingdings" w:hAnsi="Wingdings"/>
    </w:rPr>
  </w:style>
  <w:style w:type="character" w:styleId="WWCharLFO21LVL9">
    <w:name w:val="WW_CharLFO21LVL9"/>
    <w:qFormat/>
    <w:rPr>
      <w:rFonts w:ascii="Wingdings" w:hAnsi="Wingdings"/>
    </w:rPr>
  </w:style>
  <w:style w:type="character" w:styleId="WWCharLFO27LVL1">
    <w:name w:val="WW_CharLFO27LVL1"/>
    <w:qFormat/>
    <w:rPr>
      <w:rFonts w:ascii="Wingdings" w:hAnsi="Wingdings"/>
    </w:rPr>
  </w:style>
  <w:style w:type="character" w:styleId="WWCharLFO27LVL2">
    <w:name w:val="WW_CharLFO27LVL2"/>
    <w:qFormat/>
    <w:rPr>
      <w:rFonts w:ascii="Wingdings" w:hAnsi="Wingdings"/>
    </w:rPr>
  </w:style>
  <w:style w:type="character" w:styleId="WWCharLFO27LVL3">
    <w:name w:val="WW_CharLFO27LVL3"/>
    <w:qFormat/>
    <w:rPr>
      <w:rFonts w:ascii="Wingdings" w:hAnsi="Wingdings"/>
    </w:rPr>
  </w:style>
  <w:style w:type="character" w:styleId="WWCharLFO27LVL4">
    <w:name w:val="WW_CharLFO27LVL4"/>
    <w:qFormat/>
    <w:rPr>
      <w:rFonts w:ascii="Wingdings" w:hAnsi="Wingdings"/>
    </w:rPr>
  </w:style>
  <w:style w:type="character" w:styleId="WWCharLFO27LVL5">
    <w:name w:val="WW_CharLFO27LVL5"/>
    <w:qFormat/>
    <w:rPr>
      <w:rFonts w:ascii="Wingdings" w:hAnsi="Wingdings"/>
    </w:rPr>
  </w:style>
  <w:style w:type="character" w:styleId="WWCharLFO27LVL6">
    <w:name w:val="WW_CharLFO27LVL6"/>
    <w:qFormat/>
    <w:rPr>
      <w:rFonts w:ascii="Wingdings" w:hAnsi="Wingdings"/>
    </w:rPr>
  </w:style>
  <w:style w:type="character" w:styleId="WWCharLFO27LVL7">
    <w:name w:val="WW_CharLFO27LVL7"/>
    <w:qFormat/>
    <w:rPr>
      <w:rFonts w:ascii="Wingdings" w:hAnsi="Wingdings"/>
    </w:rPr>
  </w:style>
  <w:style w:type="character" w:styleId="WWCharLFO27LVL8">
    <w:name w:val="WW_CharLFO27LVL8"/>
    <w:qFormat/>
    <w:rPr>
      <w:rFonts w:ascii="Wingdings" w:hAnsi="Wingdings"/>
    </w:rPr>
  </w:style>
  <w:style w:type="character" w:styleId="WWCharLFO27LVL9">
    <w:name w:val="WW_CharLFO27LVL9"/>
    <w:qFormat/>
    <w:rPr>
      <w:rFonts w:ascii="Wingdings" w:hAnsi="Wingdings"/>
    </w:rPr>
  </w:style>
  <w:style w:type="character" w:styleId="WWCharLFO29LVL1">
    <w:name w:val="WW_CharLFO29LVL1"/>
    <w:qFormat/>
    <w:rPr>
      <w:lang w:val="en-US"/>
    </w:rPr>
  </w:style>
  <w:style w:type="character" w:styleId="WWCharLFO37LVL1">
    <w:name w:val="WW_CharLFO37LVL1"/>
    <w:qFormat/>
    <w:rPr>
      <w:sz w:val="24"/>
      <w:szCs w:val="24"/>
      <w:lang w:val="en-US"/>
    </w:rPr>
  </w:style>
  <w:style w:type="paragraph" w:styleId="Style21">
    <w:name w:val="Body Text"/>
    <w:pPr>
      <w:keepNext/>
      <w:keepLines w:val="false"/>
      <w:pageBreakBefore w:val="false"/>
      <w:widowControl w:val="false"/>
      <w:pBdr/>
      <w:shd w:fill="FFFFFF" w:val="clear"/>
      <w:suppressAutoHyphens w:val="true"/>
      <w:kinsoku w:val="true"/>
      <w:overflowPunct w:val="true"/>
      <w:autoSpaceDE w:val="true"/>
      <w:bidi w:val="0"/>
      <w:snapToGrid w:val="true"/>
      <w:spacing w:lineRule="auto" w:line="240"/>
      <w:jc w:val="left"/>
    </w:pPr>
    <w:rPr>
      <w:rFonts w:ascii="Calibri" w:hAnsi="Calibri" w:eastAsia="新細明體" w:cs="Times New Roman"/>
      <w:b w:val="false"/>
      <w:bCs w:val="false"/>
      <w:i w:val="false"/>
      <w:iCs w:val="false"/>
      <w:caps w:val="false"/>
      <w:smallCaps w:val="false"/>
      <w:strike w:val="false"/>
      <w:dstrike w:val="false"/>
      <w:outline w:val="false"/>
      <w:emboss w:val="false"/>
      <w:imprint w:val="false"/>
      <w:color w:val="auto"/>
      <w:spacing w:val="0"/>
      <w:w w:val="100"/>
      <w:position w:val="0"/>
      <w:sz w:val="24"/>
      <w:sz w:val="24"/>
      <w:szCs w:val="22"/>
      <w:u w:val="none"/>
      <w:vertAlign w:val="baseline"/>
      <w:em w:val="none"/>
      <w:lang w:val="en-US" w:eastAsia="zh-TW" w:bidi="ar-SA"/>
    </w:rPr>
  </w:style>
  <w:style w:type="paragraph" w:styleId="Style22">
    <w:name w:val="清單段落"/>
    <w:basedOn w:val="Style21"/>
    <w:qFormat/>
    <w:pPr>
      <w:suppressAutoHyphens w:val="true"/>
      <w:ind w:left="480" w:hanging="0"/>
    </w:pPr>
    <w:rPr/>
  </w:style>
  <w:style w:type="paragraph" w:styleId="Style23">
    <w:name w:val="Header"/>
    <w:basedOn w:val="Style21"/>
    <w:pPr>
      <w:tabs>
        <w:tab w:val="center" w:pos="4153" w:leader="none"/>
        <w:tab w:val="right" w:pos="8306" w:leader="none"/>
      </w:tabs>
      <w:suppressAutoHyphens w:val="true"/>
      <w:snapToGrid w:val="false"/>
    </w:pPr>
    <w:rPr>
      <w:sz w:val="20"/>
      <w:szCs w:val="20"/>
    </w:rPr>
  </w:style>
  <w:style w:type="paragraph" w:styleId="Style24">
    <w:name w:val="Footer"/>
    <w:basedOn w:val="Style21"/>
    <w:pPr>
      <w:tabs>
        <w:tab w:val="center" w:pos="4153" w:leader="none"/>
        <w:tab w:val="right" w:pos="8306" w:leader="none"/>
      </w:tabs>
      <w:suppressAutoHyphens w:val="true"/>
      <w:snapToGrid w:val="false"/>
    </w:pPr>
    <w:rPr>
      <w:sz w:val="20"/>
      <w:szCs w:val="20"/>
    </w:rPr>
  </w:style>
  <w:style w:type="paragraph" w:styleId="Web">
    <w:name w:val="內文 (Web)"/>
    <w:basedOn w:val="Style21"/>
    <w:qFormat/>
    <w:pPr>
      <w:widowControl/>
      <w:suppressAutoHyphens w:val="true"/>
      <w:spacing w:before="100" w:after="100"/>
    </w:pPr>
    <w:rPr>
      <w:rFonts w:ascii="新細明體" w:hAnsi="新細明體" w:eastAsia="新細明體" w:cs="新細明體"/>
      <w:szCs w:val="24"/>
    </w:rPr>
  </w:style>
  <w:style w:type="paragraph" w:styleId="Style25">
    <w:name w:val="本文"/>
    <w:basedOn w:val="Style21"/>
    <w:qFormat/>
    <w:pPr>
      <w:suppressAutoHyphens w:val="true"/>
    </w:pPr>
    <w:rPr>
      <w:rFonts w:ascii="Times New Roman" w:hAnsi="Times New Roman" w:eastAsia="標楷體" w:cs="Times New Roman"/>
      <w:sz w:val="32"/>
      <w:szCs w:val="32"/>
    </w:rPr>
  </w:style>
  <w:style w:type="paragraph" w:styleId="Style26">
    <w:name w:val="註解方塊文字"/>
    <w:basedOn w:val="Style21"/>
    <w:qFormat/>
    <w:pPr>
      <w:suppressAutoHyphens w:val="true"/>
    </w:pPr>
    <w:rPr>
      <w:rFonts w:ascii="Cambria" w:hAnsi="Cambria" w:eastAsia="新細明體" w:cs="Times New Roman"/>
      <w:sz w:val="18"/>
      <w:szCs w:val="18"/>
    </w:rPr>
  </w:style>
  <w:style w:type="paragraph" w:styleId="ListParagraph1">
    <w:name w:val="List Paragraph1"/>
    <w:basedOn w:val="Style21"/>
    <w:qFormat/>
    <w:pPr>
      <w:suppressAutoHyphens w:val="true"/>
      <w:ind w:left="480" w:hanging="0"/>
      <w:textAlignment w:val="baseline"/>
    </w:pPr>
    <w:rPr>
      <w:rFonts w:ascii="Calibri" w:hAnsi="Calibri" w:eastAsia="新細明體" w:cs="Calibri"/>
      <w:szCs w:val="24"/>
    </w:rPr>
  </w:style>
  <w:style w:type="paragraph" w:styleId="Style27">
    <w:name w:val="表格內容"/>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LibreOffice/5.2.4.2$Windows_x86 LibreOffice_project/3d5603e1122f0f102b62521720ab13a38a4e0eb0</Application>
  <Pages>2</Pages>
  <Words>176</Words>
  <Characters>1008</Characters>
  <CharactersWithSpaces>1182</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2022-04-08T01:40:00Z</dcterms:created>
  <dc:creator>Beauvoir</dc:creator>
  <dc:description/>
  <dc:language>zh-TW</dc:language>
  <cp:lastModifiedBy>Windows 使用者</cp:lastModifiedBy>
  <cp:lastPrinted>2021-07-23T01:38:00Z</cp:lastPrinted>
  <dcterms:modified xsi:type="dcterms:W3CDTF">2022-04-08T01:41:00Z</dcterms:modified>
  <cp:revision>3</cp:revision>
  <dc:subject/>
  <dc:title/>
</cp:coreProperties>
</file>