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2"/>
        <w:rPr>
          <w:rFonts w:ascii="DFKai-SB" w:hAnsi="DFKai-SB" w:eastAsia="DFKai-SB" w:cs="DFKai-SB"/>
          <w:b/>
          <w:b/>
          <w:color w:val="000000"/>
          <w:sz w:val="16"/>
          <w:szCs w:val="16"/>
        </w:rPr>
      </w:pPr>
      <w:r>
        <w:rPr>
          <w:rFonts w:ascii="DFKai-SB" w:hAnsi="DFKai-SB" w:cs="DFKai-SB" w:eastAsia="DFKai-SB"/>
          <w:b/>
          <w:color w:val="000000"/>
          <w:sz w:val="16"/>
          <w:szCs w:val="16"/>
        </w:rPr>
        <w:t>臺南市</w:t>
      </w:r>
      <w:r>
        <w:rPr>
          <w:rFonts w:eastAsia="DFKai-SB" w:cs="DFKai-SB" w:ascii="DFKai-SB" w:hAnsi="DFKai-SB"/>
          <w:b/>
          <w:color w:val="000000"/>
          <w:sz w:val="16"/>
          <w:szCs w:val="16"/>
        </w:rPr>
        <w:t>110</w:t>
      </w:r>
      <w:r>
        <w:rPr>
          <w:rFonts w:ascii="DFKai-SB" w:hAnsi="DFKai-SB" w:cs="DFKai-SB" w:eastAsia="DFKai-SB"/>
          <w:b/>
          <w:color w:val="000000"/>
          <w:sz w:val="16"/>
          <w:szCs w:val="16"/>
        </w:rPr>
        <w:t>學年度精進高級中等學校課程與教學計畫</w:t>
      </w:r>
    </w:p>
    <w:p>
      <w:pPr>
        <w:pStyle w:val="Style12"/>
        <w:jc w:val="center"/>
        <w:rPr>
          <w:rFonts w:ascii="DFKai-SB" w:hAnsi="DFKai-SB" w:eastAsia="DFKai-SB" w:cs="DFKai-SB"/>
          <w:b/>
          <w:b/>
          <w:sz w:val="28"/>
          <w:szCs w:val="28"/>
        </w:rPr>
      </w:pPr>
      <w:bookmarkStart w:id="0" w:name="_gjdgxs"/>
      <w:bookmarkEnd w:id="0"/>
      <w:r>
        <w:rPr>
          <w:rFonts w:ascii="DFKai-SB" w:hAnsi="DFKai-SB" w:cs="DFKai-SB" w:eastAsia="DFKai-SB"/>
          <w:b/>
          <w:sz w:val="28"/>
          <w:szCs w:val="28"/>
        </w:rPr>
        <w:t>臺南市</w:t>
      </w:r>
      <w:r>
        <w:rPr>
          <w:rFonts w:eastAsia="DFKai-SB" w:cs="DFKai-SB" w:ascii="DFKai-SB" w:hAnsi="DFKai-SB"/>
          <w:b/>
          <w:sz w:val="28"/>
          <w:szCs w:val="28"/>
        </w:rPr>
        <w:t>110</w:t>
      </w:r>
      <w:r>
        <w:rPr>
          <w:rFonts w:ascii="DFKai-SB" w:hAnsi="DFKai-SB" w:cs="DFKai-SB" w:eastAsia="DFKai-SB"/>
          <w:b/>
          <w:sz w:val="28"/>
          <w:szCs w:val="28"/>
        </w:rPr>
        <w:t>學年度第二學期 社會領域公民科教師增能培力計畫</w:t>
      </w:r>
    </w:p>
    <w:p>
      <w:pPr>
        <w:pStyle w:val="Style12"/>
        <w:spacing w:lineRule="auto" w:line="439" w:before="120" w:after="0"/>
        <w:rPr/>
      </w:pPr>
      <w:r>
        <w:rPr>
          <w:rStyle w:val="Style8"/>
          <w:rFonts w:ascii="DFKai-SB" w:hAnsi="DFKai-SB" w:cs="DFKai-SB" w:eastAsia="DFKai-SB"/>
          <w:b/>
        </w:rPr>
        <w:t>壹</w:t>
      </w:r>
      <w:r>
        <w:rPr>
          <w:rStyle w:val="Style8"/>
          <w:rFonts w:ascii="DFKai-SB" w:hAnsi="DFKai-SB" w:cs="DFKai-SB" w:eastAsia="DFKai-SB"/>
          <w:b/>
          <w:sz w:val="28"/>
          <w:szCs w:val="28"/>
        </w:rPr>
        <w:t>、</w:t>
      </w:r>
      <w:r>
        <w:rPr>
          <w:rStyle w:val="Style8"/>
          <w:rFonts w:ascii="DFKai-SB" w:hAnsi="DFKai-SB" w:cs="DFKai-SB" w:eastAsia="DFKai-SB"/>
          <w:b/>
        </w:rPr>
        <w:t>依據</w:t>
      </w:r>
    </w:p>
    <w:p>
      <w:pPr>
        <w:pStyle w:val="Style12"/>
        <w:numPr>
          <w:ilvl w:val="0"/>
          <w:numId w:val="2"/>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教育部國民及學前教育署補助地方政府精進高級中等學校課程與教學要點。</w:t>
      </w:r>
    </w:p>
    <w:p>
      <w:pPr>
        <w:pStyle w:val="Style12"/>
        <w:numPr>
          <w:ilvl w:val="0"/>
          <w:numId w:val="2"/>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臺南市</w:t>
      </w:r>
      <w:r>
        <w:rPr>
          <w:rFonts w:eastAsia="DFKai-SB" w:cs="DFKai-SB" w:ascii="DFKai-SB" w:hAnsi="DFKai-SB"/>
          <w:color w:val="000000"/>
        </w:rPr>
        <w:t>110</w:t>
      </w:r>
      <w:r>
        <w:rPr>
          <w:rFonts w:ascii="DFKai-SB" w:hAnsi="DFKai-SB" w:cs="DFKai-SB" w:eastAsia="DFKai-SB"/>
          <w:color w:val="000000"/>
        </w:rPr>
        <w:t>學年度精進高級中等學校課程與教學計畫。</w:t>
      </w:r>
    </w:p>
    <w:p>
      <w:pPr>
        <w:pStyle w:val="Style12"/>
        <w:spacing w:lineRule="auto" w:line="439"/>
        <w:rPr>
          <w:rFonts w:ascii="DFKai-SB" w:hAnsi="DFKai-SB" w:eastAsia="DFKai-SB" w:cs="DFKai-SB"/>
          <w:b/>
          <w:b/>
        </w:rPr>
      </w:pPr>
      <w:r>
        <w:rPr>
          <w:rFonts w:ascii="DFKai-SB" w:hAnsi="DFKai-SB" w:cs="DFKai-SB" w:eastAsia="DFKai-SB"/>
          <w:b/>
        </w:rPr>
        <w:t>貳、目的</w:t>
      </w:r>
    </w:p>
    <w:p>
      <w:pPr>
        <w:pStyle w:val="Style12"/>
        <w:pBdr/>
        <w:spacing w:lineRule="auto" w:line="439"/>
        <w:ind w:left="240" w:hanging="0"/>
        <w:rPr>
          <w:rFonts w:ascii="DFKai-SB" w:hAnsi="DFKai-SB" w:eastAsia="DFKai-SB" w:cs="DFKai-SB"/>
        </w:rPr>
      </w:pPr>
      <w:r>
        <w:rPr>
          <w:rFonts w:eastAsia="DFKai-SB" w:cs="DFKai-SB" w:ascii="DFKai-SB" w:hAnsi="DFKai-SB"/>
        </w:rPr>
        <w:t>1</w:t>
      </w:r>
      <w:r>
        <w:rPr>
          <w:rFonts w:ascii="DFKai-SB" w:hAnsi="DFKai-SB" w:cs="DFKai-SB" w:eastAsia="DFKai-SB"/>
        </w:rPr>
        <w:t>、協助學校了解並掌握十二年國民基本教育課程綱要精神、內容及課程教學的改變。</w:t>
      </w:r>
    </w:p>
    <w:p>
      <w:pPr>
        <w:pStyle w:val="Style12"/>
        <w:pBdr/>
        <w:spacing w:lineRule="auto" w:line="439"/>
        <w:ind w:left="240" w:hanging="0"/>
        <w:rPr>
          <w:rFonts w:ascii="DFKai-SB" w:hAnsi="DFKai-SB" w:eastAsia="DFKai-SB" w:cs="DFKai-SB"/>
        </w:rPr>
      </w:pPr>
      <w:r>
        <w:rPr>
          <w:rFonts w:eastAsia="DFKai-SB" w:cs="DFKai-SB" w:ascii="DFKai-SB" w:hAnsi="DFKai-SB"/>
        </w:rPr>
        <w:t>2</w:t>
      </w:r>
      <w:r>
        <w:rPr>
          <w:rFonts w:ascii="DFKai-SB" w:hAnsi="DFKai-SB" w:cs="DFKai-SB" w:eastAsia="DFKai-SB"/>
        </w:rPr>
        <w:t>、強化高中課程與教學革新動能，促發高中學校教師精進能量。</w:t>
      </w:r>
    </w:p>
    <w:p>
      <w:pPr>
        <w:pStyle w:val="Style12"/>
        <w:pBdr/>
        <w:spacing w:lineRule="auto" w:line="439"/>
        <w:ind w:left="240" w:hanging="0"/>
        <w:rPr>
          <w:rFonts w:ascii="DFKai-SB" w:hAnsi="DFKai-SB" w:eastAsia="DFKai-SB" w:cs="DFKai-SB"/>
        </w:rPr>
      </w:pPr>
      <w:r>
        <w:rPr>
          <w:rFonts w:eastAsia="DFKai-SB" w:cs="DFKai-SB" w:ascii="DFKai-SB" w:hAnsi="DFKai-SB"/>
        </w:rPr>
        <w:t>3</w:t>
      </w:r>
      <w:r>
        <w:rPr>
          <w:rFonts w:ascii="DFKai-SB" w:hAnsi="DFKai-SB" w:cs="DFKai-SB" w:eastAsia="DFKai-SB"/>
        </w:rPr>
        <w:t>、增進教師發展素養導向課程發展之能力。</w:t>
      </w:r>
    </w:p>
    <w:p>
      <w:pPr>
        <w:pStyle w:val="Style12"/>
        <w:pBdr/>
        <w:spacing w:lineRule="auto" w:line="439"/>
        <w:ind w:left="240" w:hanging="0"/>
        <w:rPr>
          <w:rFonts w:ascii="DFKai-SB" w:hAnsi="DFKai-SB" w:eastAsia="DFKai-SB" w:cs="DFKai-SB"/>
        </w:rPr>
      </w:pPr>
      <w:r>
        <w:rPr>
          <w:rFonts w:eastAsia="DFKai-SB" w:cs="DFKai-SB" w:ascii="DFKai-SB" w:hAnsi="DFKai-SB"/>
        </w:rPr>
        <w:t>4</w:t>
      </w:r>
      <w:r>
        <w:rPr>
          <w:rFonts w:ascii="DFKai-SB" w:hAnsi="DFKai-SB" w:cs="DFKai-SB" w:eastAsia="DFKai-SB"/>
        </w:rPr>
        <w:t>、培育臺南市研發素養課程之公民與社會科教師。</w:t>
      </w:r>
    </w:p>
    <w:p>
      <w:pPr>
        <w:pStyle w:val="Style12"/>
        <w:pBdr/>
        <w:spacing w:lineRule="auto" w:line="439"/>
        <w:ind w:left="240" w:hanging="0"/>
        <w:rPr>
          <w:rFonts w:ascii="DFKai-SB" w:hAnsi="DFKai-SB" w:eastAsia="DFKai-SB" w:cs="DFKai-SB"/>
        </w:rPr>
      </w:pPr>
      <w:r>
        <w:rPr>
          <w:rFonts w:eastAsia="DFKai-SB" w:cs="DFKai-SB" w:ascii="DFKai-SB" w:hAnsi="DFKai-SB"/>
        </w:rPr>
        <w:t>5</w:t>
      </w:r>
      <w:r>
        <w:rPr>
          <w:rFonts w:ascii="DFKai-SB" w:hAnsi="DFKai-SB" w:cs="DFKai-SB" w:eastAsia="DFKai-SB"/>
        </w:rPr>
        <w:t>、與學科中心攜手合作，辦理教材資源研發、學科宣導及應用等相關研習</w:t>
      </w:r>
    </w:p>
    <w:p>
      <w:pPr>
        <w:pStyle w:val="Style12"/>
        <w:pBdr/>
        <w:spacing w:lineRule="auto" w:line="439"/>
        <w:rPr>
          <w:rFonts w:ascii="DFKai-SB" w:hAnsi="DFKai-SB" w:eastAsia="DFKai-SB" w:cs="DFKai-SB"/>
          <w:b/>
          <w:b/>
          <w:color w:val="000000"/>
        </w:rPr>
      </w:pPr>
      <w:r>
        <w:rPr>
          <w:rFonts w:ascii="DFKai-SB" w:hAnsi="DFKai-SB" w:cs="DFKai-SB" w:eastAsia="DFKai-SB"/>
          <w:b/>
          <w:color w:val="000000"/>
        </w:rPr>
        <w:t>參、辦理單位</w:t>
      </w:r>
    </w:p>
    <w:p>
      <w:pPr>
        <w:pStyle w:val="Style12"/>
        <w:numPr>
          <w:ilvl w:val="0"/>
          <w:numId w:val="3"/>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指導單位：教育部國民及學前教育署。</w:t>
      </w:r>
    </w:p>
    <w:p>
      <w:pPr>
        <w:pStyle w:val="Style12"/>
        <w:numPr>
          <w:ilvl w:val="0"/>
          <w:numId w:val="3"/>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主辦單位：臺南市政府教育局。</w:t>
      </w:r>
    </w:p>
    <w:p>
      <w:pPr>
        <w:pStyle w:val="Style12"/>
        <w:numPr>
          <w:ilvl w:val="0"/>
          <w:numId w:val="3"/>
        </w:numPr>
        <w:pBdr/>
        <w:tabs>
          <w:tab w:val="left" w:pos="0" w:leader="none"/>
        </w:tabs>
        <w:spacing w:lineRule="auto" w:line="439"/>
        <w:ind w:left="760" w:hanging="480"/>
        <w:rPr/>
      </w:pPr>
      <w:r>
        <w:rPr>
          <w:rStyle w:val="Style8"/>
          <w:rFonts w:ascii="DFKai-SB" w:hAnsi="DFKai-SB" w:cs="DFKai-SB" w:eastAsia="DFKai-SB"/>
          <w:color w:val="000000"/>
        </w:rPr>
        <w:t>承辦單位：</w:t>
      </w:r>
      <w:r>
        <w:rPr>
          <w:rStyle w:val="Style8"/>
          <w:rFonts w:ascii="DFKai-SB" w:hAnsi="DFKai-SB" w:cs="DFKai-SB" w:eastAsia="DFKai-SB"/>
        </w:rPr>
        <w:t>公民與社會學科中心</w:t>
      </w:r>
      <w:r>
        <w:rPr>
          <w:rStyle w:val="Style8"/>
          <w:rFonts w:ascii="DFKai-SB" w:hAnsi="DFKai-SB" w:cs="DFKai-SB" w:eastAsia="DFKai-SB"/>
          <w:color w:val="000000"/>
        </w:rPr>
        <w:t>、國立北門農工。</w:t>
      </w:r>
    </w:p>
    <w:p>
      <w:pPr>
        <w:pStyle w:val="Style12"/>
        <w:pBdr/>
        <w:spacing w:lineRule="auto" w:line="439"/>
        <w:rPr>
          <w:rFonts w:ascii="DFKai-SB" w:hAnsi="DFKai-SB" w:eastAsia="DFKai-SB" w:cs="DFKai-SB"/>
          <w:b/>
          <w:b/>
          <w:color w:val="000000"/>
        </w:rPr>
      </w:pPr>
      <w:r>
        <w:rPr>
          <w:rFonts w:ascii="DFKai-SB" w:hAnsi="DFKai-SB" w:cs="DFKai-SB" w:eastAsia="DFKai-SB"/>
          <w:b/>
          <w:color w:val="000000"/>
        </w:rPr>
        <w:t>肆、辦理日期及地點：</w:t>
      </w:r>
    </w:p>
    <w:p>
      <w:pPr>
        <w:pStyle w:val="Style12"/>
        <w:spacing w:lineRule="auto" w:line="439"/>
        <w:rPr/>
      </w:pPr>
      <w:r>
        <w:rPr/>
        <w:t>(</w:t>
      </w:r>
      <w:r>
        <w:rPr/>
        <w:t>一</w:t>
      </w:r>
      <w:r>
        <w:rPr/>
        <w:t xml:space="preserve">) </w:t>
      </w:r>
      <w:r>
        <w:rPr>
          <w:rStyle w:val="Style8"/>
          <w:rFonts w:ascii="DFKai-SB" w:hAnsi="DFKai-SB" w:cs="DFKai-SB" w:eastAsia="DFKai-SB"/>
        </w:rPr>
        <w:t>舉辦四月份素養導向教師研習</w:t>
      </w:r>
    </w:p>
    <w:p>
      <w:pPr>
        <w:pStyle w:val="Style12"/>
        <w:numPr>
          <w:ilvl w:val="0"/>
          <w:numId w:val="4"/>
        </w:numPr>
        <w:pBdr/>
        <w:tabs>
          <w:tab w:val="left" w:pos="0" w:leader="none"/>
        </w:tabs>
        <w:spacing w:lineRule="auto" w:line="439"/>
        <w:ind w:left="760" w:hanging="480"/>
        <w:rPr/>
      </w:pPr>
      <w:r>
        <w:rPr>
          <w:rStyle w:val="Style8"/>
          <w:rFonts w:ascii="DFKai-SB" w:hAnsi="DFKai-SB" w:cs="DFKai-SB" w:eastAsia="DFKai-SB"/>
          <w:color w:val="000000"/>
        </w:rPr>
        <w:t>時    間：</w:t>
      </w:r>
      <w:r>
        <w:rPr>
          <w:rStyle w:val="Style8"/>
          <w:rFonts w:eastAsia="DFKai-SB" w:cs="DFKai-SB" w:ascii="DFKai-SB" w:hAnsi="DFKai-SB"/>
          <w:color w:val="000000"/>
        </w:rPr>
        <w:t>111</w:t>
      </w:r>
      <w:r>
        <w:rPr>
          <w:rStyle w:val="Style8"/>
          <w:rFonts w:ascii="DFKai-SB" w:hAnsi="DFKai-SB" w:cs="DFKai-SB" w:eastAsia="DFKai-SB"/>
          <w:color w:val="000000"/>
        </w:rPr>
        <w:t>年</w:t>
      </w:r>
      <w:r>
        <w:rPr>
          <w:rStyle w:val="Style8"/>
          <w:rFonts w:eastAsia="DFKai-SB" w:cs="DFKai-SB" w:ascii="DFKai-SB" w:hAnsi="DFKai-SB"/>
          <w:color w:val="000000"/>
        </w:rPr>
        <w:t>4</w:t>
      </w:r>
      <w:r>
        <w:rPr>
          <w:rStyle w:val="Style8"/>
          <w:rFonts w:ascii="DFKai-SB" w:hAnsi="DFKai-SB" w:cs="DFKai-SB" w:eastAsia="DFKai-SB"/>
          <w:color w:val="000000"/>
        </w:rPr>
        <w:t>月</w:t>
      </w:r>
      <w:r>
        <w:rPr>
          <w:rStyle w:val="Style8"/>
          <w:rFonts w:eastAsia="DFKai-SB" w:cs="DFKai-SB" w:ascii="DFKai-SB" w:hAnsi="DFKai-SB"/>
        </w:rPr>
        <w:t>7</w:t>
      </w:r>
      <w:r>
        <w:rPr>
          <w:rStyle w:val="Style8"/>
          <w:rFonts w:ascii="DFKai-SB" w:hAnsi="DFKai-SB" w:cs="DFKai-SB" w:eastAsia="DFKai-SB"/>
          <w:color w:val="000000"/>
        </w:rPr>
        <w:t>日星期四</w:t>
      </w:r>
      <w:r>
        <w:rPr>
          <w:rStyle w:val="Style8"/>
          <w:rFonts w:eastAsia="DFKai-SB" w:cs="DFKai-SB" w:ascii="DFKai-SB" w:hAnsi="DFKai-SB"/>
          <w:color w:val="000000"/>
        </w:rPr>
        <w:t>13:00-18:00</w:t>
      </w:r>
    </w:p>
    <w:p>
      <w:pPr>
        <w:pStyle w:val="Style12"/>
        <w:numPr>
          <w:ilvl w:val="0"/>
          <w:numId w:val="4"/>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地    點：國立台南一中 公民與社會專科教室</w:t>
      </w:r>
    </w:p>
    <w:p>
      <w:pPr>
        <w:pStyle w:val="Style12"/>
        <w:pBdr/>
        <w:spacing w:lineRule="auto" w:line="439"/>
        <w:ind w:left="760" w:hanging="0"/>
        <w:rPr>
          <w:rFonts w:ascii="DFKai-SB" w:hAnsi="DFKai-SB" w:eastAsia="DFKai-SB" w:cs="DFKai-SB"/>
          <w:color w:val="000000"/>
        </w:rPr>
      </w:pPr>
      <w:r>
        <w:rPr>
          <w:rFonts w:ascii="DFKai-SB" w:hAnsi="DFKai-SB" w:cs="DFKai-SB" w:eastAsia="DFKai-SB"/>
          <w:color w:val="000000"/>
        </w:rPr>
        <w:t>主    題：劇透人性</w:t>
      </w:r>
      <w:r>
        <w:rPr>
          <w:rFonts w:eastAsia="DFKai-SB" w:cs="DFKai-SB" w:ascii="DFKai-SB" w:hAnsi="DFKai-SB"/>
          <w:color w:val="000000"/>
        </w:rPr>
        <w:t>-</w:t>
      </w:r>
      <w:r>
        <w:rPr>
          <w:rFonts w:ascii="DFKai-SB" w:hAnsi="DFKai-SB" w:cs="DFKai-SB" w:eastAsia="DFKai-SB"/>
          <w:color w:val="000000"/>
        </w:rPr>
        <w:t>追劇陶冶公民素養</w:t>
      </w:r>
    </w:p>
    <w:p>
      <w:pPr>
        <w:pStyle w:val="Style12"/>
        <w:numPr>
          <w:ilvl w:val="0"/>
          <w:numId w:val="4"/>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講    師：林孟皇法官</w:t>
      </w:r>
    </w:p>
    <w:p>
      <w:pPr>
        <w:pStyle w:val="Style12"/>
        <w:spacing w:lineRule="auto" w:line="439"/>
        <w:rPr/>
      </w:pPr>
      <w:r>
        <w:rPr>
          <w:rStyle w:val="Style8"/>
          <w:rFonts w:eastAsia="DFKai-SB" w:cs="DFKai-SB" w:ascii="DFKai-SB" w:hAnsi="DFKai-SB"/>
          <w:color w:val="000000"/>
        </w:rPr>
        <w:t>(</w:t>
      </w:r>
      <w:r>
        <w:rPr>
          <w:rStyle w:val="Style8"/>
          <w:rFonts w:ascii="DFKai-SB" w:hAnsi="DFKai-SB" w:cs="DFKai-SB" w:eastAsia="DFKai-SB"/>
          <w:color w:val="000000"/>
        </w:rPr>
        <w:t>二</w:t>
      </w:r>
      <w:r>
        <w:rPr>
          <w:rStyle w:val="Style8"/>
          <w:rFonts w:eastAsia="DFKai-SB" w:cs="DFKai-SB" w:ascii="DFKai-SB" w:hAnsi="DFKai-SB"/>
          <w:color w:val="000000"/>
        </w:rPr>
        <w:t>)</w:t>
      </w:r>
      <w:r>
        <w:rPr/>
        <w:t xml:space="preserve"> </w:t>
      </w:r>
      <w:r>
        <w:rPr>
          <w:rStyle w:val="Style8"/>
          <w:rFonts w:ascii="DFKai-SB" w:hAnsi="DFKai-SB" w:cs="DFKai-SB" w:eastAsia="DFKai-SB"/>
          <w:color w:val="000000"/>
        </w:rPr>
        <w:t>高中職公民與社會科輔導團教師共備社群</w:t>
      </w:r>
      <w:r>
        <w:rPr>
          <w:rStyle w:val="Style8"/>
          <w:rFonts w:eastAsia="DFKai-SB" w:cs="DFKai-SB" w:ascii="DFKai-SB" w:hAnsi="DFKai-SB"/>
          <w:color w:val="000000"/>
        </w:rPr>
        <w:t>(</w:t>
      </w:r>
      <w:r>
        <w:rPr>
          <w:rStyle w:val="Style8"/>
          <w:rFonts w:ascii="DFKai-SB" w:hAnsi="DFKai-SB" w:cs="DFKai-SB" w:eastAsia="DFKai-SB"/>
          <w:color w:val="000000"/>
        </w:rPr>
        <w:t>與公民與社會學科中心合作辦理</w:t>
      </w:r>
      <w:r>
        <w:rPr>
          <w:rStyle w:val="Style8"/>
          <w:rFonts w:eastAsia="DFKai-SB" w:cs="DFKai-SB" w:ascii="DFKai-SB" w:hAnsi="DFKai-SB"/>
          <w:color w:val="000000"/>
        </w:rPr>
        <w:t>)</w:t>
      </w:r>
    </w:p>
    <w:p>
      <w:pPr>
        <w:pStyle w:val="Style12"/>
        <w:spacing w:lineRule="auto" w:line="439"/>
        <w:ind w:left="240" w:hanging="0"/>
        <w:rPr>
          <w:rFonts w:ascii="DFKai-SB" w:hAnsi="DFKai-SB" w:eastAsia="DFKai-SB" w:cs="DFKai-SB"/>
        </w:rPr>
      </w:pPr>
      <w:r>
        <w:rPr>
          <w:rFonts w:ascii="DFKai-SB" w:hAnsi="DFKai-SB" w:cs="DFKai-SB" w:eastAsia="DFKai-SB"/>
        </w:rPr>
        <w:t>為提昇台南市高中職公民與社會科教師的教學能力，透過「教師專業學習社群」的運作模式，來解決教學現場所面臨的種種問題，俾以提昇學生的學習效益。每學期至少開會研討四次，並邀請大學教授進行教學資源審查。</w:t>
      </w:r>
    </w:p>
    <w:p>
      <w:pPr>
        <w:pStyle w:val="Style12"/>
        <w:pBdr/>
        <w:spacing w:lineRule="auto" w:line="439"/>
        <w:ind w:left="720" w:hanging="720"/>
        <w:rPr/>
      </w:pPr>
      <w:r>
        <w:rPr>
          <w:rStyle w:val="Style8"/>
          <w:rFonts w:ascii="DFKai-SB" w:hAnsi="DFKai-SB" w:cs="DFKai-SB" w:eastAsia="DFKai-SB"/>
          <w:b/>
          <w:color w:val="000000"/>
        </w:rPr>
        <w:t>伍、參加對象與人數</w:t>
      </w:r>
      <w:r>
        <w:rPr>
          <w:rStyle w:val="Style8"/>
          <w:rFonts w:ascii="DFKai-SB" w:hAnsi="DFKai-SB" w:cs="DFKai-SB" w:eastAsia="DFKai-SB"/>
          <w:color w:val="000000"/>
        </w:rPr>
        <w:t>：</w:t>
      </w:r>
    </w:p>
    <w:p>
      <w:pPr>
        <w:pStyle w:val="Style12"/>
        <w:widowControl/>
        <w:numPr>
          <w:ilvl w:val="0"/>
          <w:numId w:val="5"/>
        </w:numPr>
        <w:pBdr/>
        <w:tabs>
          <w:tab w:val="left" w:pos="0" w:leader="none"/>
        </w:tabs>
        <w:spacing w:lineRule="auto" w:line="480"/>
        <w:ind w:left="1360" w:hanging="360"/>
        <w:rPr>
          <w:rFonts w:ascii="DFKai-SB" w:hAnsi="DFKai-SB" w:eastAsia="DFKai-SB" w:cs="DFKai-SB"/>
          <w:color w:val="000000"/>
        </w:rPr>
      </w:pPr>
      <w:r>
        <w:rPr>
          <w:rFonts w:ascii="DFKai-SB" w:hAnsi="DFKai-SB" w:cs="DFKai-SB" w:eastAsia="DFKai-SB"/>
          <w:color w:val="000000"/>
        </w:rPr>
        <w:t>對象：臺南市公私立高中職教師為主、雲嘉南與高屏等外縣市地區為輔。</w:t>
      </w:r>
    </w:p>
    <w:p>
      <w:pPr>
        <w:pStyle w:val="Style12"/>
        <w:widowControl/>
        <w:numPr>
          <w:ilvl w:val="0"/>
          <w:numId w:val="5"/>
        </w:numPr>
        <w:pBdr/>
        <w:tabs>
          <w:tab w:val="left" w:pos="0" w:leader="none"/>
        </w:tabs>
        <w:spacing w:lineRule="auto" w:line="480"/>
        <w:ind w:left="1360" w:hanging="360"/>
        <w:rPr/>
      </w:pPr>
      <w:r>
        <w:drawing>
          <wp:anchor behindDoc="0" distT="0" distB="0" distL="0" distR="0" simplePos="0" locked="0" layoutInCell="1" allowOverlap="1" relativeHeight="2">
            <wp:simplePos x="0" y="0"/>
            <wp:positionH relativeFrom="column">
              <wp:posOffset>5158105</wp:posOffset>
            </wp:positionH>
            <wp:positionV relativeFrom="paragraph">
              <wp:posOffset>-4445</wp:posOffset>
            </wp:positionV>
            <wp:extent cx="1295400" cy="1313815"/>
            <wp:effectExtent l="0" t="0" r="0" b="0"/>
            <wp:wrapSquare wrapText="bothSides"/>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
                    <pic:cNvPicPr>
                      <a:picLocks noChangeAspect="1" noChangeArrowheads="1"/>
                    </pic:cNvPicPr>
                  </pic:nvPicPr>
                  <pic:blipFill>
                    <a:blip r:embed="rId2"/>
                    <a:stretch>
                      <a:fillRect/>
                    </a:stretch>
                  </pic:blipFill>
                  <pic:spPr bwMode="auto">
                    <a:xfrm>
                      <a:off x="0" y="0"/>
                      <a:ext cx="1295400" cy="1313815"/>
                    </a:xfrm>
                    <a:prstGeom prst="rect">
                      <a:avLst/>
                    </a:prstGeom>
                  </pic:spPr>
                </pic:pic>
              </a:graphicData>
            </a:graphic>
          </wp:anchor>
        </w:drawing>
      </w:r>
      <w:r>
        <w:rPr>
          <w:rStyle w:val="Style8"/>
          <w:rFonts w:ascii="DFKai-SB" w:hAnsi="DFKai-SB" w:cs="DFKai-SB" w:eastAsia="DFKai-SB"/>
          <w:color w:val="000000"/>
        </w:rPr>
        <w:t>人數上限：</w:t>
      </w:r>
      <w:r>
        <w:rPr>
          <w:rStyle w:val="Style8"/>
          <w:rFonts w:eastAsia="DFKai-SB" w:cs="DFKai-SB" w:ascii="DFKai-SB" w:hAnsi="DFKai-SB"/>
          <w:color w:val="000000"/>
        </w:rPr>
        <w:t>35</w:t>
      </w:r>
      <w:r>
        <w:rPr>
          <w:rStyle w:val="Style8"/>
          <w:rFonts w:ascii="DFKai-SB" w:hAnsi="DFKai-SB" w:cs="DFKai-SB" w:eastAsia="DFKai-SB"/>
          <w:color w:val="000000"/>
        </w:rPr>
        <w:t>人。</w:t>
      </w:r>
    </w:p>
    <w:p>
      <w:pPr>
        <w:pStyle w:val="Style12"/>
        <w:widowControl/>
        <w:numPr>
          <w:ilvl w:val="0"/>
          <w:numId w:val="5"/>
        </w:numPr>
        <w:pBdr/>
        <w:tabs>
          <w:tab w:val="left" w:pos="0" w:leader="none"/>
        </w:tabs>
        <w:spacing w:lineRule="auto" w:line="480"/>
        <w:ind w:left="720" w:hanging="360"/>
        <w:rPr/>
      </w:pPr>
      <w:r>
        <w:rPr>
          <w:rStyle w:val="Style8"/>
          <w:rFonts w:ascii="DFKai-SB" w:hAnsi="DFKai-SB" w:cs="DFKai-SB" w:eastAsia="DFKai-SB"/>
          <w:color w:val="000000"/>
        </w:rPr>
        <w:t>請至全國進修網報名，研習</w:t>
      </w:r>
      <w:r>
        <w:rPr>
          <w:rStyle w:val="Style8"/>
          <w:rFonts w:ascii="Helvetica" w:hAnsi="Helvetica"/>
          <w:color w:val="505050"/>
          <w:highlight w:val="white"/>
        </w:rPr>
        <w:t>課程編號：</w:t>
      </w:r>
      <w:r>
        <w:rPr>
          <w:rStyle w:val="Style8"/>
          <w:rFonts w:ascii="Helvetica" w:hAnsi="Helvetica"/>
          <w:color w:val="505050"/>
          <w:highlight w:val="white"/>
        </w:rPr>
        <w:t>3385829</w:t>
      </w:r>
      <w:r>
        <w:rPr>
          <w:rStyle w:val="Style8"/>
          <w:rFonts w:ascii="DFKai-SB" w:hAnsi="DFKai-SB" w:cs="DFKai-SB" w:eastAsia="DFKai-SB"/>
          <w:color w:val="000000"/>
        </w:rPr>
        <w:t>。依規定核發研習時數。</w:t>
      </w:r>
    </w:p>
    <w:p>
      <w:pPr>
        <w:pStyle w:val="Style12"/>
        <w:pBdr/>
        <w:spacing w:lineRule="auto" w:line="439"/>
        <w:rPr>
          <w:rFonts w:ascii="DFKai-SB" w:hAnsi="DFKai-SB" w:eastAsia="DFKai-SB" w:cs="DFKai-SB"/>
          <w:b/>
          <w:b/>
          <w:color w:val="000000"/>
        </w:rPr>
      </w:pPr>
      <w:r>
        <w:rPr>
          <w:rFonts w:ascii="DFKai-SB" w:hAnsi="DFKai-SB" w:cs="DFKai-SB" w:eastAsia="DFKai-SB"/>
          <w:b/>
          <w:color w:val="000000"/>
        </w:rPr>
        <w:t>陸、研習內容：</w:t>
      </w:r>
    </w:p>
    <w:tbl>
      <w:tblPr>
        <w:tblW w:w="9954" w:type="dxa"/>
        <w:jc w:val="lef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296"/>
        <w:gridCol w:w="1560"/>
        <w:gridCol w:w="2134"/>
        <w:gridCol w:w="3110"/>
        <w:gridCol w:w="1854"/>
      </w:tblGrid>
      <w:tr>
        <w:trPr/>
        <w:tc>
          <w:tcPr>
            <w:tcW w:w="1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2"/>
              <w:spacing w:lineRule="auto" w:line="439"/>
              <w:jc w:val="center"/>
              <w:rPr>
                <w:rFonts w:ascii="DFKai-SB" w:hAnsi="DFKai-SB" w:eastAsia="DFKai-SB" w:cs="DFKai-SB"/>
              </w:rPr>
            </w:pPr>
            <w:r>
              <w:rPr>
                <w:rFonts w:ascii="DFKai-SB" w:hAnsi="DFKai-SB" w:cs="DFKai-SB" w:eastAsia="DFKai-SB"/>
              </w:rPr>
              <w:t>日期</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2"/>
              <w:spacing w:lineRule="auto" w:line="439"/>
              <w:jc w:val="center"/>
              <w:rPr>
                <w:rFonts w:ascii="DFKai-SB" w:hAnsi="DFKai-SB" w:eastAsia="DFKai-SB" w:cs="DFKai-SB"/>
              </w:rPr>
            </w:pPr>
            <w:r>
              <w:rPr>
                <w:rFonts w:ascii="DFKai-SB" w:hAnsi="DFKai-SB" w:cs="DFKai-SB" w:eastAsia="DFKai-SB"/>
              </w:rPr>
              <w:t>時　　　間</w:t>
            </w:r>
          </w:p>
        </w:tc>
        <w:tc>
          <w:tcPr>
            <w:tcW w:w="2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2"/>
              <w:spacing w:lineRule="auto" w:line="439"/>
              <w:jc w:val="center"/>
              <w:rPr>
                <w:rFonts w:ascii="DFKai-SB" w:hAnsi="DFKai-SB" w:eastAsia="DFKai-SB" w:cs="DFKai-SB"/>
              </w:rPr>
            </w:pPr>
            <w:r>
              <w:rPr>
                <w:rFonts w:ascii="DFKai-SB" w:hAnsi="DFKai-SB" w:cs="DFKai-SB" w:eastAsia="DFKai-SB"/>
              </w:rPr>
              <w:t>項目</w:t>
            </w:r>
            <w:r>
              <w:rPr>
                <w:rFonts w:eastAsia="DFKai-SB" w:cs="DFKai-SB" w:ascii="DFKai-SB" w:hAnsi="DFKai-SB"/>
              </w:rPr>
              <w:t>/</w:t>
            </w:r>
            <w:r>
              <w:rPr>
                <w:rFonts w:ascii="DFKai-SB" w:hAnsi="DFKai-SB" w:cs="DFKai-SB" w:eastAsia="DFKai-SB"/>
              </w:rPr>
              <w:t>講座</w:t>
            </w:r>
          </w:p>
        </w:tc>
        <w:tc>
          <w:tcPr>
            <w:tcW w:w="3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2"/>
              <w:spacing w:lineRule="auto" w:line="439"/>
              <w:jc w:val="center"/>
              <w:rPr>
                <w:rFonts w:ascii="DFKai-SB" w:hAnsi="DFKai-SB" w:eastAsia="DFKai-SB" w:cs="DFKai-SB"/>
              </w:rPr>
            </w:pPr>
            <w:r>
              <w:rPr>
                <w:rFonts w:ascii="DFKai-SB" w:hAnsi="DFKai-SB" w:cs="DFKai-SB" w:eastAsia="DFKai-SB"/>
              </w:rPr>
              <w:t>地點</w:t>
            </w:r>
          </w:p>
        </w:tc>
        <w:tc>
          <w:tcPr>
            <w:tcW w:w="1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2"/>
              <w:spacing w:lineRule="auto" w:line="439"/>
              <w:jc w:val="center"/>
              <w:rPr>
                <w:rFonts w:ascii="DFKai-SB" w:hAnsi="DFKai-SB" w:eastAsia="DFKai-SB" w:cs="DFKai-SB"/>
              </w:rPr>
            </w:pPr>
            <w:r>
              <w:rPr>
                <w:rFonts w:ascii="DFKai-SB" w:hAnsi="DFKai-SB" w:cs="DFKai-SB" w:eastAsia="DFKai-SB"/>
              </w:rPr>
              <w:t>主持人</w:t>
            </w:r>
            <w:r>
              <w:rPr>
                <w:rFonts w:eastAsia="DFKai-SB" w:cs="DFKai-SB" w:ascii="DFKai-SB" w:hAnsi="DFKai-SB"/>
              </w:rPr>
              <w:t>/</w:t>
            </w:r>
            <w:r>
              <w:rPr>
                <w:rFonts w:ascii="DFKai-SB" w:hAnsi="DFKai-SB" w:cs="DFKai-SB" w:eastAsia="DFKai-SB"/>
              </w:rPr>
              <w:t>主講人</w:t>
            </w:r>
          </w:p>
        </w:tc>
      </w:tr>
      <w:tr>
        <w:trPr>
          <w:trHeight w:val="626" w:hRule="atLeast"/>
        </w:trPr>
        <w:tc>
          <w:tcPr>
            <w:tcW w:w="1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2"/>
              <w:spacing w:lineRule="auto" w:line="439"/>
              <w:rPr>
                <w:rFonts w:ascii="DFKai-SB" w:hAnsi="DFKai-SB" w:eastAsia="DFKai-SB" w:cs="DFKai-SB"/>
              </w:rPr>
            </w:pPr>
            <w:bookmarkStart w:id="1" w:name="_30j0zll"/>
            <w:bookmarkEnd w:id="1"/>
            <w:r>
              <w:rPr>
                <w:rFonts w:eastAsia="DFKai-SB" w:cs="DFKai-SB" w:ascii="DFKai-SB" w:hAnsi="DFKai-SB"/>
              </w:rPr>
              <w:t>4</w:t>
            </w:r>
            <w:r>
              <w:rPr>
                <w:rFonts w:ascii="DFKai-SB" w:hAnsi="DFKai-SB" w:cs="DFKai-SB" w:eastAsia="DFKai-SB"/>
              </w:rPr>
              <w:t>月</w:t>
            </w:r>
            <w:r>
              <w:rPr>
                <w:rFonts w:eastAsia="DFKai-SB" w:cs="DFKai-SB" w:ascii="DFKai-SB" w:hAnsi="DFKai-SB"/>
              </w:rPr>
              <w:t>7</w:t>
            </w:r>
            <w:r>
              <w:rPr>
                <w:rFonts w:ascii="DFKai-SB" w:hAnsi="DFKai-SB" w:cs="DFKai-SB" w:eastAsia="DFKai-SB"/>
              </w:rPr>
              <w:t>日</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2"/>
              <w:spacing w:lineRule="auto" w:line="439"/>
              <w:rPr>
                <w:rFonts w:ascii="DFKai-SB" w:hAnsi="DFKai-SB" w:eastAsia="DFKai-SB" w:cs="DFKai-SB"/>
              </w:rPr>
            </w:pPr>
            <w:r>
              <w:rPr>
                <w:rFonts w:eastAsia="DFKai-SB" w:cs="DFKai-SB" w:ascii="DFKai-SB" w:hAnsi="DFKai-SB"/>
              </w:rPr>
              <w:t>13:00-18:00</w:t>
            </w:r>
          </w:p>
        </w:tc>
        <w:tc>
          <w:tcPr>
            <w:tcW w:w="2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2"/>
              <w:spacing w:lineRule="auto" w:line="439"/>
              <w:rPr/>
            </w:pPr>
            <w:r>
              <w:rPr>
                <w:rStyle w:val="Style8"/>
                <w:rFonts w:ascii="DFKai-SB" w:hAnsi="DFKai-SB" w:cs="DFKai-SB" w:eastAsia="DFKai-SB"/>
                <w:color w:val="000000"/>
              </w:rPr>
              <w:t>劇透人性</w:t>
            </w:r>
            <w:r>
              <w:rPr>
                <w:rStyle w:val="Style8"/>
                <w:rFonts w:eastAsia="DFKai-SB" w:cs="DFKai-SB" w:ascii="DFKai-SB" w:hAnsi="DFKai-SB"/>
                <w:color w:val="000000"/>
              </w:rPr>
              <w:t>-</w:t>
            </w:r>
            <w:r>
              <w:rPr>
                <w:rStyle w:val="Style8"/>
                <w:rFonts w:ascii="DFKai-SB" w:hAnsi="DFKai-SB" w:cs="DFKai-SB" w:eastAsia="DFKai-SB"/>
                <w:color w:val="000000"/>
              </w:rPr>
              <w:t>追劇陶冶公民素養</w:t>
            </w:r>
          </w:p>
        </w:tc>
        <w:tc>
          <w:tcPr>
            <w:tcW w:w="3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2"/>
              <w:spacing w:lineRule="auto" w:line="439"/>
              <w:rPr>
                <w:rFonts w:ascii="DFKai-SB" w:hAnsi="DFKai-SB" w:eastAsia="DFKai-SB" w:cs="DFKai-SB"/>
              </w:rPr>
            </w:pPr>
            <w:r>
              <w:rPr>
                <w:rFonts w:ascii="DFKai-SB" w:hAnsi="DFKai-SB" w:cs="DFKai-SB" w:eastAsia="DFKai-SB"/>
              </w:rPr>
              <w:t xml:space="preserve">國立台南一中 </w:t>
            </w:r>
          </w:p>
          <w:p>
            <w:pPr>
              <w:pStyle w:val="Style12"/>
              <w:spacing w:lineRule="auto" w:line="439"/>
              <w:rPr>
                <w:rFonts w:ascii="DFKai-SB" w:hAnsi="DFKai-SB" w:eastAsia="DFKai-SB" w:cs="DFKai-SB"/>
              </w:rPr>
            </w:pPr>
            <w:r>
              <w:rPr>
                <w:rFonts w:ascii="DFKai-SB" w:hAnsi="DFKai-SB" w:cs="DFKai-SB" w:eastAsia="DFKai-SB"/>
              </w:rPr>
              <w:t>公民與社會專科教室</w:t>
            </w:r>
          </w:p>
        </w:tc>
        <w:tc>
          <w:tcPr>
            <w:tcW w:w="1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2"/>
              <w:spacing w:lineRule="auto" w:line="439"/>
              <w:rPr/>
            </w:pPr>
            <w:r>
              <w:rPr>
                <w:rStyle w:val="Style8"/>
                <w:rFonts w:ascii="DFKai-SB" w:hAnsi="DFKai-SB" w:cs="DFKai-SB" w:eastAsia="DFKai-SB"/>
                <w:color w:val="000000"/>
              </w:rPr>
              <w:t>林孟皇法官</w:t>
            </w:r>
          </w:p>
        </w:tc>
      </w:tr>
    </w:tbl>
    <w:p>
      <w:pPr>
        <w:pStyle w:val="Style12"/>
        <w:pBdr/>
        <w:tabs>
          <w:tab w:val="left" w:pos="480" w:leader="none"/>
          <w:tab w:val="left" w:pos="656" w:leader="none"/>
        </w:tabs>
        <w:spacing w:lineRule="auto" w:line="439"/>
        <w:ind w:left="240" w:hanging="0"/>
        <w:rPr>
          <w:rFonts w:ascii="DFKai-SB" w:hAnsi="DFKai-SB" w:eastAsia="DFKai-SB" w:cs="DFKai-SB"/>
          <w:color w:val="000000"/>
        </w:rPr>
      </w:pPr>
      <w:r>
        <w:rPr>
          <w:rFonts w:ascii="DFKai-SB" w:hAnsi="DFKai-SB" w:cs="DFKai-SB" w:eastAsia="DFKai-SB"/>
          <w:color w:val="000000"/>
        </w:rPr>
        <w:t xml:space="preserve">      </w:t>
      </w:r>
    </w:p>
    <w:p>
      <w:pPr>
        <w:pStyle w:val="Style12"/>
        <w:pBdr/>
        <w:tabs>
          <w:tab w:val="left" w:pos="720" w:leader="none"/>
          <w:tab w:val="left" w:pos="896" w:leader="none"/>
        </w:tabs>
        <w:spacing w:lineRule="auto" w:line="439"/>
        <w:rPr>
          <w:rFonts w:ascii="DFKai-SB" w:hAnsi="DFKai-SB" w:eastAsia="DFKai-SB" w:cs="DFKai-SB"/>
          <w:b/>
          <w:b/>
          <w:color w:val="000000"/>
        </w:rPr>
      </w:pPr>
      <w:r>
        <w:rPr>
          <w:rFonts w:ascii="DFKai-SB" w:hAnsi="DFKai-SB" w:cs="DFKai-SB" w:eastAsia="DFKai-SB"/>
          <w:b/>
          <w:color w:val="000000"/>
        </w:rPr>
        <w:t>玖、預期成效：</w:t>
      </w:r>
    </w:p>
    <w:p>
      <w:pPr>
        <w:pStyle w:val="Style12"/>
        <w:pBdr/>
        <w:tabs>
          <w:tab w:val="left" w:pos="480" w:leader="none"/>
          <w:tab w:val="left" w:pos="656" w:leader="none"/>
        </w:tabs>
        <w:spacing w:lineRule="auto" w:line="439"/>
        <w:ind w:left="240" w:hanging="0"/>
        <w:rPr>
          <w:rFonts w:ascii="DFKai-SB" w:hAnsi="DFKai-SB" w:eastAsia="DFKai-SB" w:cs="DFKai-SB"/>
          <w:color w:val="000000"/>
        </w:rPr>
      </w:pPr>
      <w:r>
        <w:rPr>
          <w:rFonts w:eastAsia="DFKai-SB" w:cs="DFKai-SB" w:ascii="DFKai-SB" w:hAnsi="DFKai-SB"/>
          <w:color w:val="000000"/>
        </w:rPr>
        <w:t>1</w:t>
      </w:r>
      <w:r>
        <w:rPr>
          <w:rFonts w:ascii="DFKai-SB" w:hAnsi="DFKai-SB" w:cs="DFKai-SB" w:eastAsia="DFKai-SB"/>
          <w:color w:val="000000"/>
        </w:rPr>
        <w:t>、透過辦理研習活動，提供教師們參與教學精進之機會，預計參與研習人數為</w:t>
      </w:r>
      <w:r>
        <w:rPr>
          <w:rFonts w:eastAsia="DFKai-SB" w:cs="DFKai-SB" w:ascii="DFKai-SB" w:hAnsi="DFKai-SB"/>
          <w:color w:val="000000"/>
        </w:rPr>
        <w:t>40</w:t>
      </w:r>
      <w:r>
        <w:rPr>
          <w:rFonts w:ascii="DFKai-SB" w:hAnsi="DFKai-SB" w:cs="DFKai-SB" w:eastAsia="DFKai-SB"/>
          <w:color w:val="000000"/>
        </w:rPr>
        <w:t>人次。</w:t>
      </w:r>
    </w:p>
    <w:p>
      <w:pPr>
        <w:pStyle w:val="Style12"/>
        <w:pBdr/>
        <w:tabs>
          <w:tab w:val="left" w:pos="480" w:leader="none"/>
          <w:tab w:val="left" w:pos="656" w:leader="none"/>
        </w:tabs>
        <w:spacing w:lineRule="auto" w:line="439"/>
        <w:ind w:left="240" w:hanging="0"/>
        <w:rPr/>
      </w:pPr>
      <w:r>
        <w:rPr>
          <w:rStyle w:val="Style8"/>
          <w:rFonts w:eastAsia="DFKai-SB" w:cs="DFKai-SB" w:ascii="DFKai-SB" w:hAnsi="DFKai-SB"/>
          <w:color w:val="000000"/>
        </w:rPr>
        <w:t>2</w:t>
      </w:r>
      <w:r>
        <w:rPr>
          <w:rStyle w:val="Style8"/>
          <w:rFonts w:ascii="DFKai-SB" w:hAnsi="DFKai-SB" w:cs="DFKai-SB" w:eastAsia="DFKai-SB"/>
          <w:color w:val="000000"/>
        </w:rPr>
        <w:t>、透過研習活動的辦理，</w:t>
      </w:r>
      <w:r>
        <w:rPr>
          <w:rStyle w:val="Style8"/>
          <w:rFonts w:ascii="DFKai-SB" w:hAnsi="DFKai-SB" w:cs="DFKai-SB" w:eastAsia="DFKai-SB"/>
        </w:rPr>
        <w:t>促進</w:t>
      </w:r>
      <w:r>
        <w:rPr>
          <w:rStyle w:val="Style8"/>
          <w:rFonts w:ascii="DFKai-SB" w:hAnsi="DFKai-SB" w:cs="DFKai-SB" w:eastAsia="DFKai-SB"/>
          <w:color w:val="000000"/>
        </w:rPr>
        <w:t>教師有關</w:t>
      </w:r>
      <w:r>
        <w:rPr>
          <w:rStyle w:val="Style8"/>
          <w:rFonts w:eastAsia="DFKai-SB" w:cs="DFKai-SB" w:ascii="DFKai-SB" w:hAnsi="DFKai-SB"/>
          <w:color w:val="000000"/>
        </w:rPr>
        <w:t>108</w:t>
      </w:r>
      <w:r>
        <w:rPr>
          <w:rStyle w:val="Style8"/>
          <w:rFonts w:ascii="DFKai-SB" w:hAnsi="DFKai-SB" w:cs="DFKai-SB" w:eastAsia="DFKai-SB"/>
          <w:color w:val="000000"/>
        </w:rPr>
        <w:t>課綱</w:t>
      </w:r>
      <w:r>
        <w:rPr>
          <w:rStyle w:val="Style8"/>
          <w:rFonts w:ascii="DFKai-SB" w:hAnsi="DFKai-SB" w:cs="DFKai-SB" w:eastAsia="DFKai-SB"/>
        </w:rPr>
        <w:t>加深加廣以及探究實作</w:t>
      </w:r>
      <w:r>
        <w:rPr>
          <w:rStyle w:val="Style8"/>
          <w:rFonts w:ascii="DFKai-SB" w:hAnsi="DFKai-SB" w:cs="DFKai-SB" w:eastAsia="DFKai-SB"/>
          <w:color w:val="000000"/>
        </w:rPr>
        <w:t>議題之知能。</w:t>
      </w:r>
    </w:p>
    <w:p>
      <w:pPr>
        <w:pStyle w:val="Style12"/>
        <w:pBdr/>
        <w:tabs>
          <w:tab w:val="left" w:pos="480" w:leader="none"/>
          <w:tab w:val="left" w:pos="656" w:leader="none"/>
        </w:tabs>
        <w:spacing w:lineRule="auto" w:line="439"/>
        <w:ind w:left="240" w:hanging="0"/>
        <w:rPr>
          <w:rFonts w:ascii="DFKai-SB" w:hAnsi="DFKai-SB" w:eastAsia="DFKai-SB" w:cs="DFKai-SB"/>
          <w:color w:val="000000"/>
        </w:rPr>
      </w:pPr>
      <w:r>
        <w:rPr>
          <w:rFonts w:eastAsia="DFKai-SB" w:cs="DFKai-SB" w:ascii="DFKai-SB" w:hAnsi="DFKai-SB"/>
          <w:color w:val="000000"/>
        </w:rPr>
        <w:t>3</w:t>
      </w:r>
      <w:r>
        <w:rPr>
          <w:rFonts w:ascii="DFKai-SB" w:hAnsi="DFKai-SB" w:cs="DFKai-SB" w:eastAsia="DFKai-SB"/>
          <w:color w:val="000000"/>
        </w:rPr>
        <w:t>、透過經驗分享與交流，發現教師實施融入教學之現況困境，並提出因應對策。</w:t>
      </w:r>
    </w:p>
    <w:p>
      <w:pPr>
        <w:pStyle w:val="Style12"/>
        <w:pBdr/>
        <w:tabs>
          <w:tab w:val="left" w:pos="332" w:leader="none"/>
        </w:tabs>
        <w:spacing w:lineRule="auto" w:line="439"/>
        <w:ind w:left="564" w:hanging="326"/>
        <w:rPr>
          <w:rFonts w:ascii="DFKai-SB" w:hAnsi="DFKai-SB" w:eastAsia="DFKai-SB" w:cs="DFKai-SB"/>
          <w:color w:val="000000"/>
        </w:rPr>
      </w:pPr>
      <w:r>
        <w:rPr>
          <w:rFonts w:eastAsia="DFKai-SB" w:cs="DFKai-SB" w:ascii="DFKai-SB" w:hAnsi="DFKai-SB"/>
          <w:color w:val="000000"/>
        </w:rPr>
        <w:t>4</w:t>
      </w:r>
      <w:r>
        <w:rPr>
          <w:rFonts w:ascii="DFKai-SB" w:hAnsi="DFKai-SB" w:cs="DFKai-SB" w:eastAsia="DFKai-SB"/>
          <w:color w:val="000000"/>
        </w:rPr>
        <w:t>、提升老師課程設計以及命題能力。透過與學科中心合作，能擁有更多人事物資源，有利於推動新課綱相關重要教學計劃。</w:t>
      </w:r>
    </w:p>
    <w:p>
      <w:pPr>
        <w:pStyle w:val="Style12"/>
        <w:spacing w:lineRule="auto" w:line="439"/>
        <w:rPr>
          <w:rFonts w:ascii="DFKai-SB" w:hAnsi="DFKai-SB" w:eastAsia="DFKai-SB" w:cs="DFKai-SB"/>
          <w:b/>
          <w:b/>
        </w:rPr>
      </w:pPr>
      <w:r>
        <w:rPr>
          <w:rFonts w:ascii="DFKai-SB" w:hAnsi="DFKai-SB" w:cs="DFKai-SB" w:eastAsia="DFKai-SB"/>
          <w:b/>
        </w:rPr>
        <w:t>拾、本計畫聯絡人：</w:t>
      </w:r>
    </w:p>
    <w:p>
      <w:pPr>
        <w:pStyle w:val="Style12"/>
        <w:numPr>
          <w:ilvl w:val="0"/>
          <w:numId w:val="6"/>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國立北門農工 公民與社會科   黃淑真老師  電話</w:t>
      </w:r>
      <w:r>
        <w:rPr>
          <w:rFonts w:eastAsia="DFKai-SB" w:cs="DFKai-SB" w:ascii="DFKai-SB" w:hAnsi="DFKai-SB"/>
          <w:color w:val="000000"/>
        </w:rPr>
        <w:t>:06-7260148#226</w:t>
      </w:r>
    </w:p>
    <w:p>
      <w:pPr>
        <w:pStyle w:val="Style12"/>
        <w:pBdr/>
        <w:tabs>
          <w:tab w:val="left" w:pos="-40" w:leader="none"/>
          <w:tab w:val="left" w:pos="136" w:leader="none"/>
        </w:tabs>
        <w:spacing w:lineRule="auto" w:line="439"/>
        <w:ind w:left="760" w:hanging="0"/>
        <w:rPr>
          <w:rFonts w:ascii="DFKai-SB" w:hAnsi="DFKai-SB" w:eastAsia="DFKai-SB" w:cs="DFKai-SB"/>
          <w:color w:val="000000"/>
        </w:rPr>
      </w:pPr>
      <w:r>
        <w:rPr>
          <w:rFonts w:eastAsia="DFKai-SB" w:cs="DFKai-SB" w:ascii="DFKai-SB" w:hAnsi="DFKai-SB"/>
          <w:color w:val="000000"/>
        </w:rPr>
        <w:t>722013</w:t>
      </w:r>
      <w:r>
        <w:rPr>
          <w:rFonts w:ascii="DFKai-SB" w:hAnsi="DFKai-SB" w:cs="DFKai-SB" w:eastAsia="DFKai-SB"/>
          <w:color w:val="000000"/>
        </w:rPr>
        <w:t>臺南市佳里區六安里</w:t>
      </w:r>
      <w:r>
        <w:rPr>
          <w:rFonts w:eastAsia="DFKai-SB" w:cs="DFKai-SB" w:ascii="DFKai-SB" w:hAnsi="DFKai-SB"/>
          <w:color w:val="000000"/>
        </w:rPr>
        <w:t>117</w:t>
      </w:r>
      <w:r>
        <w:rPr>
          <w:rFonts w:ascii="DFKai-SB" w:hAnsi="DFKai-SB" w:cs="DFKai-SB" w:eastAsia="DFKai-SB"/>
          <w:color w:val="000000"/>
        </w:rPr>
        <w:t>號</w:t>
      </w:r>
    </w:p>
    <w:p>
      <w:pPr>
        <w:pStyle w:val="Style12"/>
        <w:numPr>
          <w:ilvl w:val="0"/>
          <w:numId w:val="6"/>
        </w:numPr>
        <w:pBdr/>
        <w:tabs>
          <w:tab w:val="left" w:pos="0" w:leader="none"/>
        </w:tabs>
        <w:spacing w:lineRule="auto" w:line="439"/>
        <w:ind w:left="760" w:hanging="480"/>
        <w:rPr>
          <w:rFonts w:ascii="DFKai-SB" w:hAnsi="DFKai-SB" w:eastAsia="DFKai-SB" w:cs="DFKai-SB"/>
          <w:color w:val="000000"/>
        </w:rPr>
      </w:pPr>
      <w:r>
        <w:rPr>
          <w:rFonts w:ascii="DFKai-SB" w:hAnsi="DFKai-SB" w:cs="DFKai-SB" w:eastAsia="DFKai-SB"/>
          <w:color w:val="000000"/>
        </w:rPr>
        <w:t>國立臺南一中 公民與社會學科中心助理 顏淳妮小姐，電話：</w:t>
      </w:r>
      <w:r>
        <w:rPr>
          <w:rFonts w:eastAsia="DFKai-SB" w:cs="DFKai-SB" w:ascii="DFKai-SB" w:hAnsi="DFKai-SB"/>
          <w:color w:val="000000"/>
        </w:rPr>
        <w:t>06-2371206#601</w:t>
      </w:r>
    </w:p>
    <w:p>
      <w:pPr>
        <w:pStyle w:val="Style12"/>
        <w:pBdr/>
        <w:tabs>
          <w:tab w:val="left" w:pos="440" w:leader="none"/>
          <w:tab w:val="left" w:pos="616" w:leader="none"/>
        </w:tabs>
        <w:spacing w:lineRule="auto" w:line="439"/>
        <w:ind w:left="280" w:hanging="0"/>
        <w:rPr/>
      </w:pPr>
      <w:r>
        <w:rPr>
          <w:rStyle w:val="Style8"/>
          <w:rFonts w:ascii="DFKai-SB" w:hAnsi="DFKai-SB" w:cs="DFKai-SB" w:eastAsia="DFKai-SB"/>
          <w:color w:val="000000"/>
        </w:rPr>
        <w:t xml:space="preserve">    </w:t>
      </w:r>
      <w:r>
        <w:rPr>
          <w:rStyle w:val="Style8"/>
          <w:rFonts w:ascii="DFKai-SB" w:hAnsi="DFKai-SB" w:cs="DFKai-SB" w:eastAsia="DFKai-SB"/>
          <w:color w:val="000000"/>
        </w:rPr>
        <w:t>電子郵件：</w:t>
      </w:r>
      <w:hyperlink r:id="rId3" w:tgtFrame="_top">
        <w:r>
          <w:rPr>
            <w:rStyle w:val="Style8"/>
            <w:rFonts w:eastAsia="DFKai-SB" w:cs="DFKai-SB" w:ascii="DFKai-SB" w:hAnsi="DFKai-SB"/>
            <w:color w:val="0000FF"/>
            <w:u w:val="single"/>
          </w:rPr>
          <w:t>chunni@gm.tnfsh.tn.edu.tw</w:t>
        </w:r>
      </w:hyperlink>
      <w:r>
        <w:rPr>
          <w:rStyle w:val="Style8"/>
          <w:rFonts w:ascii="DFKai-SB" w:hAnsi="DFKai-SB" w:cs="DFKai-SB" w:eastAsia="DFKai-SB"/>
          <w:color w:val="000000"/>
        </w:rPr>
        <w:t>。</w:t>
      </w:r>
    </w:p>
    <w:p>
      <w:pPr>
        <w:pStyle w:val="Style12"/>
        <w:tabs>
          <w:tab w:val="left" w:pos="720" w:leader="none"/>
          <w:tab w:val="left" w:pos="896" w:leader="none"/>
        </w:tabs>
        <w:spacing w:lineRule="auto" w:line="439"/>
        <w:rPr>
          <w:rFonts w:ascii="DFKai-SB" w:hAnsi="DFKai-SB" w:eastAsia="DFKai-SB" w:cs="DFKai-SB"/>
        </w:rPr>
      </w:pPr>
      <w:r>
        <w:rPr>
          <w:rFonts w:eastAsia="DFKai-SB" w:cs="DFKai-SB" w:ascii="DFKai-SB" w:hAnsi="DFKai-SB"/>
        </w:rPr>
      </w:r>
    </w:p>
    <w:sectPr>
      <w:type w:val="nextPage"/>
      <w:pgSz w:w="11906" w:h="16838"/>
      <w:pgMar w:left="709" w:right="866" w:header="0" w:top="1135" w:footer="0" w:bottom="737" w:gutter="0"/>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Georgia">
    <w:charset w:val="88"/>
    <w:family w:val="roman"/>
    <w:pitch w:val="variable"/>
  </w:font>
  <w:font w:name="DFKai-SB">
    <w:charset w:val="88"/>
    <w:family w:val="auto"/>
    <w:pitch w:val="default"/>
  </w:font>
  <w:font w:name="Helvetica">
    <w:altName w:val="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60"/>
        </w:tabs>
        <w:ind w:left="760" w:hanging="480"/>
      </w:pPr>
      <w:rPr>
        <w:sz w:val="24"/>
        <w:szCs w:val="24"/>
      </w:rPr>
    </w:lvl>
    <w:lvl w:ilvl="1">
      <w:start w:val="1"/>
      <w:numFmt w:val="decim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decim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decim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3">
    <w:lvl w:ilvl="0">
      <w:start w:val="1"/>
      <w:numFmt w:val="decimal"/>
      <w:lvlText w:val="%1、"/>
      <w:lvlJc w:val="left"/>
      <w:pPr>
        <w:tabs>
          <w:tab w:val="num" w:pos="760"/>
        </w:tabs>
        <w:ind w:left="760" w:hanging="480"/>
      </w:pPr>
      <w:rPr>
        <w:sz w:val="24"/>
        <w:szCs w:val="24"/>
      </w:rPr>
    </w:lvl>
    <w:lvl w:ilvl="1">
      <w:start w:val="1"/>
      <w:numFmt w:val="decim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decim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decim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4">
    <w:lvl w:ilvl="0">
      <w:start w:val="1"/>
      <w:numFmt w:val="decimal"/>
      <w:lvlText w:val="%1、"/>
      <w:lvlJc w:val="left"/>
      <w:pPr>
        <w:tabs>
          <w:tab w:val="num" w:pos="760"/>
        </w:tabs>
        <w:ind w:left="760" w:hanging="480"/>
      </w:pPr>
      <w:rPr>
        <w:sz w:val="24"/>
        <w:szCs w:val="24"/>
      </w:rPr>
    </w:lvl>
    <w:lvl w:ilvl="1">
      <w:start w:val="1"/>
      <w:numFmt w:val="decim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decim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decimal"/>
      <w:lvlText w:val="%8、"/>
      <w:lvlJc w:val="left"/>
      <w:pPr>
        <w:tabs>
          <w:tab w:val="num" w:pos="4120"/>
        </w:tabs>
        <w:ind w:left="4120" w:hanging="480"/>
      </w:pPr>
    </w:lvl>
    <w:lvl w:ilvl="8">
      <w:start w:val="1"/>
      <w:numFmt w:val="lowerRoman"/>
      <w:lvlText w:val="%9."/>
      <w:lvlJc w:val="right"/>
      <w:pPr>
        <w:tabs>
          <w:tab w:val="num" w:pos="4600"/>
        </w:tabs>
        <w:ind w:left="4600" w:hanging="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60"/>
        </w:tabs>
        <w:ind w:left="760" w:hanging="480"/>
      </w:pPr>
      <w:rPr>
        <w:sz w:val="24"/>
        <w:szCs w:val="24"/>
      </w:rPr>
    </w:lvl>
    <w:lvl w:ilvl="1">
      <w:start w:val="1"/>
      <w:numFmt w:val="decimal"/>
      <w:lvlText w:val="%2、"/>
      <w:lvlJc w:val="left"/>
      <w:pPr>
        <w:tabs>
          <w:tab w:val="num" w:pos="1240"/>
        </w:tabs>
        <w:ind w:left="1240" w:hanging="480"/>
      </w:pPr>
    </w:lvl>
    <w:lvl w:ilvl="2">
      <w:start w:val="1"/>
      <w:numFmt w:val="lowerRoman"/>
      <w:lvlText w:val="%3."/>
      <w:lvlJc w:val="right"/>
      <w:pPr>
        <w:tabs>
          <w:tab w:val="num" w:pos="1720"/>
        </w:tabs>
        <w:ind w:left="1720" w:hanging="0"/>
      </w:pPr>
    </w:lvl>
    <w:lvl w:ilvl="3">
      <w:start w:val="1"/>
      <w:numFmt w:val="decimal"/>
      <w:lvlText w:val="%4."/>
      <w:lvlJc w:val="left"/>
      <w:pPr>
        <w:tabs>
          <w:tab w:val="num" w:pos="2200"/>
        </w:tabs>
        <w:ind w:left="2200" w:hanging="480"/>
      </w:pPr>
    </w:lvl>
    <w:lvl w:ilvl="4">
      <w:start w:val="1"/>
      <w:numFmt w:val="decimal"/>
      <w:lvlText w:val="%5、"/>
      <w:lvlJc w:val="left"/>
      <w:pPr>
        <w:tabs>
          <w:tab w:val="num" w:pos="2680"/>
        </w:tabs>
        <w:ind w:left="2680" w:hanging="480"/>
      </w:pPr>
    </w:lvl>
    <w:lvl w:ilvl="5">
      <w:start w:val="1"/>
      <w:numFmt w:val="lowerRoman"/>
      <w:lvlText w:val="%6."/>
      <w:lvlJc w:val="right"/>
      <w:pPr>
        <w:tabs>
          <w:tab w:val="num" w:pos="3160"/>
        </w:tabs>
        <w:ind w:left="3160" w:hanging="0"/>
      </w:pPr>
    </w:lvl>
    <w:lvl w:ilvl="6">
      <w:start w:val="1"/>
      <w:numFmt w:val="decimal"/>
      <w:lvlText w:val="%7."/>
      <w:lvlJc w:val="left"/>
      <w:pPr>
        <w:tabs>
          <w:tab w:val="num" w:pos="3640"/>
        </w:tabs>
        <w:ind w:left="3640" w:hanging="480"/>
      </w:pPr>
    </w:lvl>
    <w:lvl w:ilvl="7">
      <w:start w:val="1"/>
      <w:numFmt w:val="decimal"/>
      <w:lvlText w:val="%8、"/>
      <w:lvlJc w:val="left"/>
      <w:pPr>
        <w:tabs>
          <w:tab w:val="num" w:pos="4120"/>
        </w:tabs>
        <w:ind w:left="4120" w:hanging="480"/>
      </w:pPr>
    </w:lvl>
    <w:lvl w:ilvl="8">
      <w:start w:val="1"/>
      <w:numFmt w:val="lowerRoman"/>
      <w:lvlText w:val="%9."/>
      <w:lvlJc w:val="right"/>
      <w:pPr>
        <w:tabs>
          <w:tab w:val="num" w:pos="4600"/>
        </w:tabs>
        <w:ind w:left="460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Calibri"/>
        <w:sz w:val="24"/>
        <w:szCs w:val="24"/>
        <w:lang w:val="en-US" w:eastAsia="zh-TW" w:bidi="ar-SA"/>
      </w:rPr>
    </w:rPrDefault>
    <w:pPrDefault>
      <w:pPr>
        <w:suppressAutoHyphens w:val="false"/>
      </w:pPr>
    </w:pPrDefault>
  </w:docDefaults>
  <w:style w:type="paragraph" w:styleId="Normal">
    <w:name w:val="Normal"/>
    <w:qFormat/>
    <w:pPr>
      <w:keepNext/>
      <w:keepLines w:val="false"/>
      <w:pageBreakBefore w:val="false"/>
      <w:widowControl w:val="false"/>
      <w:pBdr/>
      <w:shd w:fill="FFFFFF" w:val="clear"/>
      <w:kinsoku w:val="true"/>
      <w:overflowPunct w:val="true"/>
      <w:autoSpaceDE w:val="true"/>
      <w:bidi w:val="0"/>
      <w:snapToGrid w:val="true"/>
      <w:spacing w:lineRule="auto" w:line="240"/>
      <w:jc w:val="left"/>
    </w:pPr>
    <w:rPr>
      <w:rFonts w:ascii="Calibri" w:hAnsi="Calibri" w:eastAsia="新細明體" w:cs="Calibri"/>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
    <w:name w:val="Heading 1"/>
    <w:basedOn w:val="Style12"/>
    <w:next w:val="Style12"/>
    <w:qFormat/>
    <w:pPr>
      <w:keepNext/>
      <w:keepLines/>
      <w:numPr>
        <w:ilvl w:val="0"/>
        <w:numId w:val="1"/>
      </w:numPr>
      <w:suppressAutoHyphens w:val="true"/>
      <w:spacing w:before="480" w:after="120"/>
      <w:outlineLvl w:val="0"/>
      <w:outlineLvl w:val="0"/>
    </w:pPr>
    <w:rPr>
      <w:b/>
      <w:sz w:val="48"/>
      <w:szCs w:val="48"/>
    </w:rPr>
  </w:style>
  <w:style w:type="paragraph" w:styleId="2">
    <w:name w:val="Heading 2"/>
    <w:basedOn w:val="Style12"/>
    <w:next w:val="Style12"/>
    <w:qFormat/>
    <w:pPr>
      <w:keepNext/>
      <w:keepLines/>
      <w:numPr>
        <w:ilvl w:val="1"/>
        <w:numId w:val="1"/>
      </w:numPr>
      <w:suppressAutoHyphens w:val="true"/>
      <w:spacing w:before="360" w:after="80"/>
      <w:outlineLvl w:val="1"/>
      <w:outlineLvl w:val="1"/>
    </w:pPr>
    <w:rPr>
      <w:b/>
      <w:sz w:val="36"/>
      <w:szCs w:val="36"/>
    </w:rPr>
  </w:style>
  <w:style w:type="paragraph" w:styleId="3">
    <w:name w:val="Heading 3"/>
    <w:basedOn w:val="Style12"/>
    <w:next w:val="Style12"/>
    <w:qFormat/>
    <w:pPr>
      <w:keepNext/>
      <w:keepLines/>
      <w:numPr>
        <w:ilvl w:val="2"/>
        <w:numId w:val="1"/>
      </w:numPr>
      <w:suppressAutoHyphens w:val="true"/>
      <w:spacing w:before="280" w:after="80"/>
      <w:outlineLvl w:val="2"/>
      <w:outlineLvl w:val="2"/>
    </w:pPr>
    <w:rPr>
      <w:b/>
      <w:sz w:val="28"/>
      <w:szCs w:val="28"/>
    </w:rPr>
  </w:style>
  <w:style w:type="paragraph" w:styleId="4">
    <w:name w:val="Heading 4"/>
    <w:basedOn w:val="Style12"/>
    <w:next w:val="Style12"/>
    <w:qFormat/>
    <w:pPr>
      <w:keepNext/>
      <w:keepLines/>
      <w:numPr>
        <w:ilvl w:val="3"/>
        <w:numId w:val="1"/>
      </w:numPr>
      <w:suppressAutoHyphens w:val="true"/>
      <w:spacing w:before="240" w:after="40"/>
      <w:outlineLvl w:val="3"/>
      <w:outlineLvl w:val="3"/>
    </w:pPr>
    <w:rPr>
      <w:b/>
    </w:rPr>
  </w:style>
  <w:style w:type="paragraph" w:styleId="5">
    <w:name w:val="Heading 5"/>
    <w:basedOn w:val="Style12"/>
    <w:next w:val="Style12"/>
    <w:qFormat/>
    <w:pPr>
      <w:keepNext/>
      <w:keepLines/>
      <w:numPr>
        <w:ilvl w:val="4"/>
        <w:numId w:val="1"/>
      </w:numPr>
      <w:suppressAutoHyphens w:val="true"/>
      <w:spacing w:before="220" w:after="40"/>
      <w:outlineLvl w:val="4"/>
      <w:outlineLvl w:val="4"/>
    </w:pPr>
    <w:rPr>
      <w:b/>
      <w:sz w:val="22"/>
      <w:szCs w:val="22"/>
    </w:rPr>
  </w:style>
  <w:style w:type="paragraph" w:styleId="6">
    <w:name w:val="Heading 6"/>
    <w:basedOn w:val="Style12"/>
    <w:next w:val="Style12"/>
    <w:qFormat/>
    <w:pPr>
      <w:keepNext/>
      <w:keepLines/>
      <w:numPr>
        <w:ilvl w:val="5"/>
        <w:numId w:val="1"/>
      </w:numPr>
      <w:suppressAutoHyphens w:val="true"/>
      <w:spacing w:before="200" w:after="40"/>
      <w:outlineLvl w:val="5"/>
      <w:outlineLvl w:val="5"/>
    </w:pPr>
    <w:rPr>
      <w:b/>
      <w:sz w:val="20"/>
      <w:szCs w:val="20"/>
    </w:rPr>
  </w:style>
  <w:style w:type="character" w:styleId="Style8">
    <w:name w:val="預設段落字型"/>
    <w:qFormat/>
    <w:rPr/>
  </w:style>
  <w:style w:type="character" w:styleId="Style9">
    <w:name w:val="註解方塊文字 字元"/>
    <w:basedOn w:val="Style8"/>
    <w:qFormat/>
    <w:rPr>
      <w:rFonts w:ascii="Calibri" w:hAnsi="Calibri" w:eastAsia="新細明體" w:cs="Times New Roman"/>
      <w:sz w:val="18"/>
      <w:szCs w:val="18"/>
    </w:rPr>
  </w:style>
  <w:style w:type="character" w:styleId="WWCharLFO1LVL1">
    <w:name w:val="WW_CharLFO1LVL1"/>
    <w:qFormat/>
    <w:rPr>
      <w:sz w:val="24"/>
      <w:szCs w:val="24"/>
    </w:rPr>
  </w:style>
  <w:style w:type="character" w:styleId="WWCharLFO2LVL1">
    <w:name w:val="WW_CharLFO2LVL1"/>
    <w:qFormat/>
    <w:rPr>
      <w:sz w:val="24"/>
      <w:szCs w:val="24"/>
    </w:rPr>
  </w:style>
  <w:style w:type="character" w:styleId="WWCharLFO3LVL1">
    <w:name w:val="WW_CharLFO3LVL1"/>
    <w:qFormat/>
    <w:rPr>
      <w:sz w:val="24"/>
      <w:szCs w:val="24"/>
    </w:rPr>
  </w:style>
  <w:style w:type="character" w:styleId="WWCharLFO4LVL1">
    <w:name w:val="WW_CharLFO4LVL1"/>
    <w:qFormat/>
    <w:rPr>
      <w:sz w:val="24"/>
      <w:szCs w:val="24"/>
    </w:rPr>
  </w:style>
  <w:style w:type="character" w:styleId="Style10">
    <w:name w:val="網際網路連結"/>
    <w:rPr>
      <w:color w:val="000080"/>
      <w:u w:val="single"/>
      <w:lang w:val="zxx" w:eastAsia="zxx" w:bidi="zxx"/>
    </w:rPr>
  </w:style>
  <w:style w:type="paragraph" w:styleId="Style11">
    <w:name w:val="標題"/>
    <w:basedOn w:val="Style12"/>
    <w:next w:val="Style12"/>
    <w:qFormat/>
    <w:pPr>
      <w:keepNext/>
      <w:keepLines/>
      <w:suppressAutoHyphens w:val="true"/>
      <w:spacing w:before="480" w:after="120"/>
    </w:pPr>
    <w:rPr>
      <w:b/>
      <w:sz w:val="72"/>
      <w:szCs w:val="72"/>
    </w:rPr>
  </w:style>
  <w:style w:type="paragraph" w:styleId="Style12">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Calibri"/>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3">
    <w:name w:val="副標題"/>
    <w:basedOn w:val="Style12"/>
    <w:next w:val="Style12"/>
    <w:qFormat/>
    <w:pPr>
      <w:keepNext/>
      <w:keepLines/>
      <w:pBdr/>
      <w:suppressAutoHyphens w:val="true"/>
      <w:spacing w:before="360" w:after="80"/>
    </w:pPr>
    <w:rPr>
      <w:rFonts w:ascii="Georgia" w:hAnsi="Georgia" w:eastAsia="Georgia" w:cs="Georgia"/>
      <w:i/>
      <w:color w:val="666666"/>
      <w:sz w:val="48"/>
      <w:szCs w:val="48"/>
    </w:rPr>
  </w:style>
  <w:style w:type="paragraph" w:styleId="Style14">
    <w:name w:val="註解方塊文字"/>
    <w:basedOn w:val="Style12"/>
    <w:qFormat/>
    <w:pPr>
      <w:suppressAutoHyphens w:val="true"/>
    </w:pPr>
    <w:rPr>
      <w:rFonts w:ascii="Calibri" w:hAnsi="Calibri" w:eastAsia="新細明體" w:cs="Times New Roman"/>
      <w:sz w:val="18"/>
      <w:szCs w:val="18"/>
    </w:rPr>
  </w:style>
  <w:style w:type="paragraph" w:styleId="Style1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hunni@gm.tnfsh.tn.edu.tw"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LibreOffice/5.2.4.2$Windows_x86 LibreOffice_project/3d5603e1122f0f102b62521720ab13a38a4e0eb0</Application>
  <Pages>2</Pages>
  <Words>173</Words>
  <Characters>991</Characters>
  <CharactersWithSpaces>1162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2022-04-01T01:29:00Z</dcterms:created>
  <dc:creator>孔慶麗</dc:creator>
  <dc:description/>
  <dc:language>zh-TW</dc:language>
  <cp:lastModifiedBy>user</cp:lastModifiedBy>
  <cp:lastPrinted>2022-04-01T00:52:00Z</cp:lastPrinted>
  <dcterms:modified xsi:type="dcterms:W3CDTF">2022-04-01T01:30:00Z</dcterms:modified>
  <cp:revision>2</cp:revision>
  <dc:subject/>
  <dc:title/>
</cp:coreProperties>
</file>