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uppressAutoHyphens w:val="true"/>
        <w:spacing w:lineRule="exact" w:line="460"/>
        <w:jc w:val="center"/>
        <w:textAlignment w:val="baseline"/>
        <w:rPr>
          <w:rFonts w:ascii="標楷體" w:hAnsi="標楷體" w:eastAsia="標楷體" w:cs="新細明體"/>
          <w:b/>
          <w:b/>
          <w:bCs/>
          <w:color w:val="000000"/>
          <w:sz w:val="28"/>
          <w:szCs w:val="28"/>
        </w:rPr>
      </w:pPr>
      <w:r>
        <w:rPr>
          <w:rFonts w:ascii="標楷體" w:hAnsi="標楷體" w:cs="新細明體" w:eastAsia="標楷體"/>
          <w:b/>
          <w:bCs/>
          <w:color w:val="000000"/>
          <w:sz w:val="28"/>
          <w:szCs w:val="28"/>
        </w:rPr>
        <w:t>臺南市</w:t>
      </w:r>
      <w:r>
        <w:rPr>
          <w:rFonts w:eastAsia="標楷體" w:cs="新細明體" w:ascii="標楷體" w:hAnsi="標楷體"/>
          <w:b/>
          <w:bCs/>
          <w:color w:val="000000"/>
          <w:sz w:val="28"/>
          <w:szCs w:val="28"/>
        </w:rPr>
        <w:t>110</w:t>
      </w:r>
      <w:r>
        <w:rPr>
          <w:rFonts w:ascii="標楷體" w:hAnsi="標楷體" w:cs="新細明體" w:eastAsia="標楷體"/>
          <w:b/>
          <w:bCs/>
          <w:color w:val="000000"/>
          <w:sz w:val="28"/>
          <w:szCs w:val="28"/>
        </w:rPr>
        <w:t>學年度第二學期 公民與社會科教師增能培力計畫</w:t>
      </w:r>
    </w:p>
    <w:p>
      <w:pPr>
        <w:pStyle w:val="Style21"/>
        <w:suppressAutoHyphens w:val="true"/>
        <w:spacing w:lineRule="exact" w:line="460"/>
        <w:jc w:val="center"/>
        <w:textAlignment w:val="baseline"/>
        <w:rPr>
          <w:rFonts w:ascii="標楷體" w:hAnsi="標楷體" w:eastAsia="標楷體" w:cs="新細明體"/>
          <w:b/>
          <w:b/>
          <w:bCs/>
          <w:color w:val="000000"/>
          <w:sz w:val="28"/>
          <w:szCs w:val="28"/>
        </w:rPr>
      </w:pPr>
      <w:r>
        <w:rPr>
          <w:rFonts w:ascii="標楷體" w:hAnsi="標楷體" w:cs="新細明體" w:eastAsia="標楷體"/>
          <w:b/>
          <w:bCs/>
          <w:color w:val="000000"/>
          <w:sz w:val="28"/>
          <w:szCs w:val="28"/>
        </w:rPr>
        <w:t>普通型高級中等學校公民與社會學科中心</w:t>
      </w:r>
      <w:r>
        <w:rPr>
          <w:rFonts w:eastAsia="標楷體" w:cs="新細明體" w:ascii="標楷體" w:hAnsi="標楷體"/>
          <w:b/>
          <w:bCs/>
          <w:color w:val="000000"/>
          <w:sz w:val="28"/>
          <w:szCs w:val="28"/>
        </w:rPr>
        <w:t>110</w:t>
      </w:r>
      <w:r>
        <w:rPr>
          <w:rFonts w:ascii="標楷體" w:hAnsi="標楷體" w:cs="新細明體" w:eastAsia="標楷體"/>
          <w:b/>
          <w:bCs/>
          <w:color w:val="000000"/>
          <w:sz w:val="28"/>
          <w:szCs w:val="28"/>
        </w:rPr>
        <w:t>學年度教師專業成長研習實施計畫</w:t>
      </w:r>
    </w:p>
    <w:p>
      <w:pPr>
        <w:pStyle w:val="Style22"/>
        <w:spacing w:lineRule="atLeast" w:line="240"/>
        <w:ind w:left="480" w:hanging="0"/>
        <w:jc w:val="center"/>
        <w:rPr>
          <w:rFonts w:ascii="標楷體" w:hAnsi="標楷體" w:eastAsia="標楷體" w:cs="新細明體"/>
          <w:b/>
          <w:b/>
          <w:bCs/>
          <w:color w:val="000000"/>
          <w:sz w:val="32"/>
          <w:szCs w:val="24"/>
        </w:rPr>
      </w:pPr>
      <w:r>
        <w:rPr>
          <w:rFonts w:ascii="標楷體" w:hAnsi="標楷體" w:cs="新細明體" w:eastAsia="標楷體"/>
          <w:b/>
          <w:bCs/>
          <w:color w:val="000000"/>
          <w:sz w:val="32"/>
          <w:szCs w:val="24"/>
        </w:rPr>
        <w:t>劇透人性</w:t>
      </w:r>
      <w:r>
        <w:rPr>
          <w:rFonts w:eastAsia="標楷體" w:cs="新細明體" w:ascii="標楷體" w:hAnsi="標楷體"/>
          <w:b/>
          <w:bCs/>
          <w:color w:val="000000"/>
          <w:sz w:val="32"/>
          <w:szCs w:val="24"/>
        </w:rPr>
        <w:t>-</w:t>
      </w:r>
      <w:r>
        <w:rPr>
          <w:rFonts w:ascii="標楷體" w:hAnsi="標楷體" w:cs="新細明體" w:eastAsia="標楷體"/>
          <w:b/>
          <w:bCs/>
          <w:color w:val="000000"/>
          <w:sz w:val="32"/>
          <w:szCs w:val="24"/>
        </w:rPr>
        <w:t>追劇陶冶公民素養</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計畫依據</w:t>
      </w:r>
    </w:p>
    <w:p>
      <w:pPr>
        <w:pStyle w:val="Style22"/>
        <w:ind w:left="851" w:right="110" w:hanging="0"/>
        <w:rPr>
          <w:rFonts w:ascii="標楷體" w:hAnsi="標楷體" w:eastAsia="標楷體" w:cs="華康儷楷書"/>
          <w:color w:val="000000"/>
        </w:rPr>
      </w:pPr>
      <w:r>
        <w:rPr>
          <w:rFonts w:ascii="標楷體" w:hAnsi="標楷體" w:cs="華康儷楷書" w:eastAsia="標楷體"/>
          <w:color w:val="000000"/>
        </w:rPr>
        <w:t>教育部國民及學前教育署高級中等學校課程推動工作圈及學科群科中心設置與運作要點。</w:t>
      </w:r>
    </w:p>
    <w:p>
      <w:pPr>
        <w:pStyle w:val="Style22"/>
        <w:ind w:left="851" w:right="110" w:hanging="0"/>
        <w:rPr>
          <w:rFonts w:ascii="標楷體" w:hAnsi="標楷體" w:eastAsia="標楷體" w:cs="華康儷楷書"/>
          <w:color w:val="000000"/>
        </w:rPr>
      </w:pPr>
      <w:r>
        <w:rPr>
          <w:rFonts w:ascii="標楷體" w:hAnsi="標楷體" w:cs="華康儷楷書" w:eastAsia="標楷體"/>
          <w:color w:val="000000"/>
        </w:rPr>
        <w:t>教育部國民及學前教育署補助地方政府精進高級中等學校課程與教學要點。</w:t>
      </w:r>
    </w:p>
    <w:p>
      <w:pPr>
        <w:pStyle w:val="Style22"/>
        <w:ind w:left="851" w:right="110" w:hanging="0"/>
        <w:rPr>
          <w:rFonts w:ascii="標楷體" w:hAnsi="標楷體" w:eastAsia="標楷體" w:cs="華康儷楷書"/>
          <w:color w:val="000000"/>
        </w:rPr>
      </w:pPr>
      <w:r>
        <w:rPr>
          <w:rFonts w:eastAsia="標楷體" w:cs="華康儷楷書" w:ascii="標楷體" w:hAnsi="標楷體"/>
          <w:color w:val="000000"/>
        </w:rPr>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目的</w:t>
      </w:r>
    </w:p>
    <w:p>
      <w:pPr>
        <w:pStyle w:val="Style22"/>
        <w:numPr>
          <w:ilvl w:val="0"/>
          <w:numId w:val="2"/>
        </w:numPr>
        <w:spacing w:lineRule="exact" w:line="300" w:before="120" w:after="0"/>
        <w:ind w:left="1276" w:hanging="425"/>
        <w:rPr>
          <w:rFonts w:ascii="標楷體" w:hAnsi="標楷體" w:eastAsia="標楷體" w:cs="Times New Roman"/>
          <w:szCs w:val="24"/>
        </w:rPr>
      </w:pPr>
      <w:r>
        <w:rPr>
          <w:rFonts w:ascii="標楷體" w:hAnsi="標楷體" w:cs="Times New Roman" w:eastAsia="標楷體"/>
          <w:szCs w:val="24"/>
        </w:rPr>
        <w:t>協助學校了解並掌握十二年國民基本教育課程綱要精神、內容及課程教學的改變。</w:t>
      </w:r>
    </w:p>
    <w:p>
      <w:pPr>
        <w:pStyle w:val="Style22"/>
        <w:numPr>
          <w:ilvl w:val="0"/>
          <w:numId w:val="2"/>
        </w:numPr>
        <w:spacing w:lineRule="exact" w:line="300" w:before="120" w:after="0"/>
        <w:ind w:left="1276" w:hanging="425"/>
        <w:rPr>
          <w:rFonts w:ascii="標楷體" w:hAnsi="標楷體" w:eastAsia="標楷體" w:cs="Times New Roman"/>
          <w:szCs w:val="24"/>
        </w:rPr>
      </w:pPr>
      <w:r>
        <w:rPr>
          <w:rFonts w:ascii="標楷體" w:hAnsi="標楷體" w:cs="Times New Roman" w:eastAsia="標楷體"/>
          <w:szCs w:val="24"/>
        </w:rPr>
        <w:t>強化高中課程與教學革新動能，促發高中學校教師精進能量。</w:t>
      </w:r>
    </w:p>
    <w:p>
      <w:pPr>
        <w:pStyle w:val="Style22"/>
        <w:numPr>
          <w:ilvl w:val="0"/>
          <w:numId w:val="2"/>
        </w:numPr>
        <w:spacing w:lineRule="exact" w:line="300" w:before="120" w:after="0"/>
        <w:ind w:left="1276" w:hanging="425"/>
        <w:rPr>
          <w:rFonts w:ascii="標楷體" w:hAnsi="標楷體" w:eastAsia="標楷體" w:cs="Times New Roman"/>
          <w:szCs w:val="24"/>
        </w:rPr>
      </w:pPr>
      <w:r>
        <w:rPr>
          <w:rFonts w:ascii="標楷體" w:hAnsi="標楷體" w:cs="Times New Roman" w:eastAsia="標楷體"/>
          <w:szCs w:val="24"/>
        </w:rPr>
        <w:t>增進教師發展素養導向課程發展之能力。</w:t>
      </w:r>
    </w:p>
    <w:p>
      <w:pPr>
        <w:pStyle w:val="Style22"/>
        <w:numPr>
          <w:ilvl w:val="0"/>
          <w:numId w:val="2"/>
        </w:numPr>
        <w:spacing w:lineRule="exact" w:line="300" w:before="120" w:after="0"/>
        <w:ind w:left="1276" w:hanging="425"/>
        <w:rPr>
          <w:rFonts w:ascii="標楷體" w:hAnsi="標楷體" w:eastAsia="標楷體" w:cs="Times New Roman"/>
          <w:szCs w:val="24"/>
        </w:rPr>
      </w:pPr>
      <w:r>
        <w:rPr>
          <w:rFonts w:ascii="標楷體" w:hAnsi="標楷體" w:cs="Times New Roman" w:eastAsia="標楷體"/>
          <w:szCs w:val="24"/>
        </w:rPr>
        <w:t>培育臺南市研發素養課程之公民與社會科教師。</w:t>
      </w:r>
    </w:p>
    <w:p>
      <w:pPr>
        <w:pStyle w:val="Style22"/>
        <w:numPr>
          <w:ilvl w:val="0"/>
          <w:numId w:val="2"/>
        </w:numPr>
        <w:spacing w:lineRule="exact" w:line="300" w:before="120" w:after="0"/>
        <w:ind w:left="1276" w:hanging="425"/>
        <w:rPr>
          <w:rFonts w:ascii="標楷體" w:hAnsi="標楷體" w:eastAsia="標楷體" w:cs="Times New Roman"/>
          <w:szCs w:val="24"/>
        </w:rPr>
      </w:pPr>
      <w:r>
        <w:rPr>
          <w:rFonts w:ascii="標楷體" w:hAnsi="標楷體" w:cs="Times New Roman" w:eastAsia="標楷體"/>
          <w:szCs w:val="24"/>
        </w:rPr>
        <w:t>與學科中心攜手合作，辦理教材資源研發、學科宣導及應用等相關研習。</w:t>
      </w:r>
    </w:p>
    <w:p>
      <w:pPr>
        <w:pStyle w:val="Style22"/>
        <w:spacing w:lineRule="exact" w:line="300" w:before="120" w:after="0"/>
        <w:ind w:left="1276" w:hanging="0"/>
        <w:rPr>
          <w:rFonts w:ascii="標楷體" w:hAnsi="標楷體" w:eastAsia="標楷體" w:cs="Times New Roman"/>
          <w:szCs w:val="24"/>
        </w:rPr>
      </w:pPr>
      <w:r>
        <w:rPr>
          <w:rFonts w:eastAsia="標楷體" w:cs="Times New Roman" w:ascii="標楷體" w:hAnsi="標楷體"/>
          <w:szCs w:val="24"/>
        </w:rPr>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辦理單位</w:t>
      </w:r>
    </w:p>
    <w:p>
      <w:pPr>
        <w:pStyle w:val="Style22"/>
        <w:numPr>
          <w:ilvl w:val="1"/>
          <w:numId w:val="1"/>
        </w:numPr>
        <w:ind w:left="1276" w:hanging="0"/>
        <w:rPr/>
      </w:pPr>
      <w:r>
        <w:rPr>
          <w:rStyle w:val="Style14"/>
          <w:rFonts w:ascii="標楷體" w:hAnsi="標楷體" w:cs="Times New Roman" w:eastAsia="標楷體"/>
          <w:szCs w:val="24"/>
        </w:rPr>
        <w:t>指導單位：</w:t>
      </w:r>
      <w:r>
        <w:rPr>
          <w:rStyle w:val="Style14"/>
          <w:rFonts w:ascii="標楷體" w:hAnsi="標楷體" w:eastAsia="標楷體"/>
          <w:bCs/>
          <w:szCs w:val="24"/>
        </w:rPr>
        <w:t>教育部國民及學前教育署</w:t>
      </w:r>
    </w:p>
    <w:p>
      <w:pPr>
        <w:pStyle w:val="Style22"/>
        <w:numPr>
          <w:ilvl w:val="1"/>
          <w:numId w:val="1"/>
        </w:numPr>
        <w:ind w:left="1276" w:hanging="0"/>
        <w:rPr>
          <w:rFonts w:ascii="標楷體" w:hAnsi="標楷體" w:eastAsia="標楷體" w:cs="Times New Roman"/>
          <w:szCs w:val="24"/>
        </w:rPr>
      </w:pPr>
      <w:r>
        <w:rPr>
          <w:rFonts w:ascii="標楷體" w:hAnsi="標楷體" w:cs="Times New Roman" w:eastAsia="標楷體"/>
          <w:szCs w:val="24"/>
        </w:rPr>
        <w:t>主辦單位：臺南市政府教育局、公民與社會學科中心學校－國立臺南第一高級中學</w:t>
      </w:r>
    </w:p>
    <w:p>
      <w:pPr>
        <w:pStyle w:val="Style22"/>
        <w:numPr>
          <w:ilvl w:val="1"/>
          <w:numId w:val="1"/>
        </w:numPr>
        <w:ind w:left="1276" w:hanging="0"/>
        <w:rPr>
          <w:rFonts w:ascii="標楷體" w:hAnsi="標楷體" w:eastAsia="標楷體" w:cs="Times New Roman"/>
          <w:szCs w:val="24"/>
        </w:rPr>
      </w:pPr>
      <w:r>
        <w:rPr>
          <w:rFonts w:ascii="標楷體" w:hAnsi="標楷體" w:cs="Times New Roman" w:eastAsia="標楷體"/>
          <w:szCs w:val="24"/>
        </w:rPr>
        <w:t>承辦單位：國立北門高級農工職業學校</w:t>
      </w:r>
    </w:p>
    <w:p>
      <w:pPr>
        <w:pStyle w:val="Style22"/>
        <w:ind w:left="1276" w:hanging="0"/>
        <w:rPr>
          <w:rFonts w:ascii="標楷體" w:hAnsi="標楷體" w:eastAsia="標楷體" w:cs="Times New Roman"/>
          <w:szCs w:val="24"/>
        </w:rPr>
      </w:pPr>
      <w:r>
        <w:rPr>
          <w:rFonts w:eastAsia="標楷體" w:cs="Times New Roman" w:ascii="標楷體" w:hAnsi="標楷體"/>
          <w:szCs w:val="24"/>
        </w:rPr>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辦理內容</w:t>
      </w:r>
    </w:p>
    <w:p>
      <w:pPr>
        <w:pStyle w:val="Style21"/>
        <w:widowControl/>
        <w:spacing w:lineRule="exact" w:line="360"/>
        <w:ind w:left="2246" w:hanging="1680"/>
        <w:rPr>
          <w:rFonts w:ascii="標楷體" w:hAnsi="標楷體" w:eastAsia="標楷體" w:cs="新細明體"/>
          <w:szCs w:val="24"/>
        </w:rPr>
      </w:pPr>
      <w:r>
        <w:rPr>
          <w:rFonts w:ascii="標楷體" w:hAnsi="標楷體" w:cs="新細明體" w:eastAsia="標楷體"/>
          <w:szCs w:val="24"/>
        </w:rPr>
        <w:t>一、參加對象：雲嘉南高屏以臺南市各公私立高中職教師惟優先錄取，雲林縣、嘉義縣市、高雄市、屏東縣市等外縣市地區為輔，錄取名額以</w:t>
      </w:r>
      <w:r>
        <w:rPr>
          <w:rFonts w:eastAsia="標楷體" w:cs="新細明體" w:ascii="標楷體" w:hAnsi="標楷體"/>
          <w:szCs w:val="24"/>
        </w:rPr>
        <w:t>35</w:t>
      </w:r>
      <w:r>
        <w:rPr>
          <w:rFonts w:ascii="標楷體" w:hAnsi="標楷體" w:cs="新細明體" w:eastAsia="標楷體"/>
          <w:szCs w:val="24"/>
        </w:rPr>
        <w:t>名為限。</w:t>
      </w:r>
    </w:p>
    <w:p>
      <w:pPr>
        <w:pStyle w:val="Style21"/>
        <w:widowControl/>
        <w:spacing w:lineRule="exact" w:line="360"/>
        <w:ind w:left="1046" w:hanging="480"/>
        <w:rPr>
          <w:rFonts w:ascii="標楷體" w:hAnsi="標楷體" w:eastAsia="標楷體" w:cs="新細明體"/>
          <w:szCs w:val="24"/>
        </w:rPr>
      </w:pPr>
      <w:r>
        <w:rPr>
          <w:rFonts w:ascii="標楷體" w:hAnsi="標楷體" w:cs="新細明體" w:eastAsia="標楷體"/>
          <w:szCs w:val="24"/>
        </w:rPr>
        <w:t>二、時間：</w:t>
      </w:r>
      <w:r>
        <w:rPr>
          <w:rFonts w:eastAsia="標楷體" w:cs="新細明體" w:ascii="標楷體" w:hAnsi="標楷體"/>
          <w:szCs w:val="24"/>
        </w:rPr>
        <w:t>111</w:t>
      </w:r>
      <w:r>
        <w:rPr>
          <w:rFonts w:ascii="標楷體" w:hAnsi="標楷體" w:cs="新細明體" w:eastAsia="標楷體"/>
          <w:szCs w:val="24"/>
        </w:rPr>
        <w:t>年</w:t>
      </w:r>
      <w:r>
        <w:rPr>
          <w:rFonts w:eastAsia="標楷體" w:cs="新細明體" w:ascii="標楷體" w:hAnsi="標楷體"/>
          <w:szCs w:val="24"/>
        </w:rPr>
        <w:t>4</w:t>
      </w:r>
      <w:r>
        <w:rPr>
          <w:rFonts w:ascii="標楷體" w:hAnsi="標楷體" w:cs="新細明體" w:eastAsia="標楷體"/>
          <w:szCs w:val="24"/>
        </w:rPr>
        <w:t>月</w:t>
      </w:r>
      <w:r>
        <w:rPr>
          <w:rFonts w:eastAsia="標楷體" w:cs="新細明體" w:ascii="標楷體" w:hAnsi="標楷體"/>
          <w:szCs w:val="24"/>
        </w:rPr>
        <w:t>7</w:t>
      </w:r>
      <w:r>
        <w:rPr>
          <w:rFonts w:ascii="標楷體" w:hAnsi="標楷體" w:cs="新細明體" w:eastAsia="標楷體"/>
          <w:szCs w:val="24"/>
        </w:rPr>
        <w:t>日（週四）下午</w:t>
      </w:r>
      <w:r>
        <w:rPr>
          <w:rFonts w:eastAsia="標楷體" w:cs="新細明體" w:ascii="標楷體" w:hAnsi="標楷體"/>
          <w:szCs w:val="24"/>
        </w:rPr>
        <w:t>1</w:t>
      </w:r>
      <w:r>
        <w:rPr>
          <w:rFonts w:ascii="標楷體" w:hAnsi="標楷體" w:cs="新細明體" w:eastAsia="標楷體"/>
          <w:szCs w:val="24"/>
        </w:rPr>
        <w:t>時至</w:t>
      </w:r>
      <w:r>
        <w:rPr>
          <w:rFonts w:eastAsia="標楷體" w:cs="新細明體" w:ascii="標楷體" w:hAnsi="標楷體"/>
          <w:szCs w:val="24"/>
        </w:rPr>
        <w:t>6</w:t>
      </w:r>
      <w:r>
        <w:rPr>
          <w:rFonts w:ascii="標楷體" w:hAnsi="標楷體" w:cs="新細明體" w:eastAsia="標楷體"/>
          <w:szCs w:val="24"/>
        </w:rPr>
        <w:t>時。</w:t>
      </w:r>
    </w:p>
    <w:p>
      <w:pPr>
        <w:pStyle w:val="Style21"/>
        <w:widowControl/>
        <w:ind w:left="2246" w:hanging="1680"/>
        <w:rPr>
          <w:rFonts w:ascii="標楷體" w:hAnsi="標楷體" w:eastAsia="標楷體" w:cs="新細明體"/>
          <w:szCs w:val="24"/>
        </w:rPr>
      </w:pPr>
      <w:r>
        <w:rPr>
          <w:rFonts w:ascii="標楷體" w:hAnsi="標楷體" w:cs="新細明體" w:eastAsia="標楷體"/>
          <w:szCs w:val="24"/>
        </w:rPr>
        <w:t>三、報名方式：請至全國教師在職進修網</w:t>
      </w:r>
      <w:r>
        <w:rPr>
          <w:rFonts w:eastAsia="標楷體" w:cs="新細明體" w:ascii="標楷體" w:hAnsi="標楷體"/>
          <w:szCs w:val="24"/>
        </w:rPr>
        <w:t>http://www3.inservice.edu.tw/</w:t>
      </w:r>
      <w:r>
        <w:rPr>
          <w:rFonts w:ascii="標楷體" w:hAnsi="標楷體" w:cs="新細明體" w:eastAsia="標楷體"/>
          <w:szCs w:val="24"/>
        </w:rPr>
        <w:t>，依課程代碼搜尋。本次研習原則上採實體工作坊方式，研習前三日恕不受理取消報名，亦不接受現場報名。</w:t>
      </w:r>
    </w:p>
    <w:p>
      <w:pPr>
        <w:pStyle w:val="Style21"/>
        <w:widowControl/>
        <w:ind w:left="2246" w:hanging="1680"/>
        <w:rPr>
          <w:rFonts w:ascii="標楷體" w:hAnsi="標楷體" w:eastAsia="標楷體" w:cs="新細明體"/>
          <w:szCs w:val="24"/>
        </w:rPr>
      </w:pPr>
      <w:r>
        <w:rPr>
          <w:rFonts w:ascii="標楷體" w:hAnsi="標楷體" w:cs="新細明體" w:eastAsia="標楷體"/>
          <w:szCs w:val="24"/>
        </w:rPr>
        <w:t>四、研習地點：國立臺南一中 人文教育大樓 公民與社會專科教室</w:t>
      </w:r>
    </w:p>
    <w:p>
      <w:pPr>
        <w:pStyle w:val="Style21"/>
        <w:widowControl/>
        <w:ind w:left="2246" w:hanging="1680"/>
        <w:rPr>
          <w:rFonts w:ascii="標楷體" w:hAnsi="標楷體" w:eastAsia="標楷體" w:cs="新細明體"/>
          <w:szCs w:val="24"/>
        </w:rPr>
      </w:pPr>
      <w:r>
        <w:rPr>
          <w:rFonts w:ascii="標楷體" w:hAnsi="標楷體" w:cs="新細明體" w:eastAsia="標楷體"/>
          <w:szCs w:val="24"/>
        </w:rPr>
        <w:t>五、注意事項：</w:t>
      </w:r>
    </w:p>
    <w:p>
      <w:pPr>
        <w:pStyle w:val="Style25"/>
        <w:numPr>
          <w:ilvl w:val="0"/>
          <w:numId w:val="3"/>
        </w:numPr>
        <w:tabs>
          <w:tab w:val="left" w:pos="-283" w:leader="none"/>
        </w:tabs>
        <w:spacing w:lineRule="exact" w:line="400"/>
        <w:ind w:left="1276" w:hanging="0"/>
        <w:jc w:val="both"/>
        <w:rPr>
          <w:sz w:val="24"/>
        </w:rPr>
      </w:pPr>
      <w:r>
        <w:rPr>
          <w:sz w:val="24"/>
        </w:rPr>
        <w:t>因應校內工程施工，恕不開放停車如造成不便請見諒。搭乘火車：台南火車站</w:t>
      </w:r>
      <w:r>
        <w:rPr>
          <w:sz w:val="24"/>
        </w:rPr>
        <w:t>(</w:t>
      </w:r>
      <w:r>
        <w:rPr>
          <w:sz w:val="24"/>
        </w:rPr>
        <w:t>後站</w:t>
      </w:r>
      <w:r>
        <w:rPr>
          <w:sz w:val="24"/>
        </w:rPr>
        <w:t>)</w:t>
      </w:r>
      <w:r>
        <w:rPr>
          <w:sz w:val="24"/>
        </w:rPr>
        <w:t>，步行</w:t>
      </w:r>
      <w:r>
        <w:rPr>
          <w:sz w:val="24"/>
        </w:rPr>
        <w:t>550</w:t>
      </w:r>
      <w:r>
        <w:rPr>
          <w:sz w:val="24"/>
        </w:rPr>
        <w:t>公尺約</w:t>
      </w:r>
      <w:r>
        <w:rPr>
          <w:sz w:val="24"/>
        </w:rPr>
        <w:t>7</w:t>
      </w:r>
      <w:r>
        <w:rPr>
          <w:sz w:val="24"/>
        </w:rPr>
        <w:t>分鐘。</w:t>
      </w:r>
    </w:p>
    <w:p>
      <w:pPr>
        <w:pStyle w:val="Style25"/>
        <w:numPr>
          <w:ilvl w:val="0"/>
          <w:numId w:val="3"/>
        </w:numPr>
        <w:tabs>
          <w:tab w:val="left" w:pos="-283" w:leader="none"/>
        </w:tabs>
        <w:spacing w:lineRule="exact" w:line="400"/>
        <w:ind w:left="1276" w:hanging="0"/>
        <w:jc w:val="both"/>
        <w:rPr>
          <w:sz w:val="24"/>
        </w:rPr>
      </w:pPr>
      <w:r>
        <w:rPr>
          <w:sz w:val="24"/>
        </w:rPr>
        <w:t>請與會教師於課程結束後填寫回饋問卷</w:t>
      </w:r>
      <w:r>
        <w:rPr>
          <w:sz w:val="24"/>
        </w:rPr>
        <w:t>(</w:t>
      </w:r>
      <w:r>
        <w:rPr>
          <w:sz w:val="24"/>
        </w:rPr>
        <w:t>連結於研習結束後提供</w:t>
      </w:r>
      <w:r>
        <w:rPr>
          <w:sz w:val="24"/>
        </w:rPr>
        <w:t>)</w:t>
      </w:r>
      <w:r>
        <w:rPr>
          <w:sz w:val="24"/>
        </w:rPr>
        <w:t>，以利中心核發研習時數，全程參與者核予研習時數</w:t>
      </w:r>
      <w:r>
        <w:rPr>
          <w:sz w:val="24"/>
        </w:rPr>
        <w:t>4</w:t>
      </w:r>
      <w:r>
        <w:rPr>
          <w:sz w:val="24"/>
        </w:rPr>
        <w:t>小時。</w:t>
      </w:r>
    </w:p>
    <w:p>
      <w:pPr>
        <w:pStyle w:val="Style25"/>
        <w:numPr>
          <w:ilvl w:val="0"/>
          <w:numId w:val="3"/>
        </w:numPr>
        <w:tabs>
          <w:tab w:val="left" w:pos="-283" w:leader="none"/>
        </w:tabs>
        <w:spacing w:lineRule="exact" w:line="400"/>
        <w:ind w:left="1276" w:hanging="0"/>
        <w:jc w:val="both"/>
        <w:rPr>
          <w:sz w:val="24"/>
        </w:rPr>
      </w:pPr>
      <w:r>
        <w:rPr>
          <w:sz w:val="24"/>
        </w:rPr>
        <w:t>基於個資法與智財權的考量，與會教師請勿錄音、翻拍。本研習課程內容與課程資料，經講師同意並授權後，另置放於學科中心資源平台，提供老師們參考使用。</w:t>
      </w:r>
    </w:p>
    <w:p>
      <w:pPr>
        <w:pStyle w:val="Style25"/>
        <w:numPr>
          <w:ilvl w:val="0"/>
          <w:numId w:val="3"/>
        </w:numPr>
        <w:tabs>
          <w:tab w:val="left" w:pos="-283" w:leader="none"/>
        </w:tabs>
        <w:spacing w:lineRule="exact" w:line="400"/>
        <w:ind w:left="1276" w:hanging="0"/>
        <w:jc w:val="both"/>
        <w:rPr/>
      </w:pPr>
      <w:r>
        <w:rPr>
          <w:rStyle w:val="Style14"/>
          <w:sz w:val="24"/>
        </w:rPr>
        <w:t>若因防疫政策而須調整研習方式與時間</w:t>
      </w:r>
      <w:r>
        <w:rPr>
          <w:rStyle w:val="Style14"/>
          <w:rFonts w:ascii="新細明體" w:hAnsi="新細明體" w:eastAsia="新細明體"/>
          <w:sz w:val="24"/>
        </w:rPr>
        <w:t>，</w:t>
      </w:r>
      <w:r>
        <w:rPr>
          <w:rStyle w:val="Style14"/>
          <w:sz w:val="24"/>
        </w:rPr>
        <w:t>請留意報名信箱的信件通知</w:t>
      </w:r>
      <w:r>
        <w:rPr>
          <w:rStyle w:val="Style14"/>
          <w:rFonts w:ascii="新細明體" w:hAnsi="新細明體" w:eastAsia="新細明體"/>
          <w:sz w:val="24"/>
        </w:rPr>
        <w:t>。</w:t>
      </w:r>
    </w:p>
    <w:p>
      <w:pPr>
        <w:pStyle w:val="Style21"/>
        <w:widowControl/>
        <w:spacing w:lineRule="exact" w:line="400"/>
        <w:ind w:left="2246" w:hanging="1680"/>
        <w:rPr>
          <w:rFonts w:ascii="標楷體" w:hAnsi="標楷體" w:eastAsia="標楷體" w:cs="新細明體"/>
          <w:szCs w:val="24"/>
        </w:rPr>
      </w:pPr>
      <w:r>
        <w:rPr>
          <w:rFonts w:ascii="標楷體" w:hAnsi="標楷體" w:cs="新細明體" w:eastAsia="標楷體"/>
          <w:szCs w:val="24"/>
        </w:rPr>
        <w:t>六、聯絡人：公民與社會學科中心助理 顏淳妮小姐，電話</w:t>
      </w:r>
      <w:r>
        <w:rPr>
          <w:rFonts w:eastAsia="標楷體" w:cs="新細明體" w:ascii="標楷體" w:hAnsi="標楷體"/>
          <w:szCs w:val="24"/>
        </w:rPr>
        <w:t>06-2371206#601</w:t>
      </w:r>
      <w:r>
        <w:rPr>
          <w:rFonts w:ascii="標楷體" w:hAnsi="標楷體" w:cs="新細明體" w:eastAsia="標楷體"/>
          <w:szCs w:val="24"/>
        </w:rPr>
        <w:t>，電子郵件</w:t>
      </w:r>
    </w:p>
    <w:p>
      <w:pPr>
        <w:pStyle w:val="Style21"/>
        <w:widowControl/>
        <w:spacing w:lineRule="exact" w:line="400"/>
        <w:ind w:left="2693" w:hanging="600"/>
        <w:rPr>
          <w:rFonts w:ascii="標楷體" w:hAnsi="標楷體" w:eastAsia="標楷體" w:cs="新細明體"/>
          <w:szCs w:val="24"/>
        </w:rPr>
      </w:pPr>
      <w:r>
        <w:rPr>
          <w:rFonts w:eastAsia="標楷體" w:cs="新細明體" w:ascii="標楷體" w:hAnsi="標楷體"/>
          <w:szCs w:val="24"/>
        </w:rPr>
        <w:t>chunni@gm.tnfsh.tn.edu.tw</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課程時間及內容</w:t>
      </w:r>
    </w:p>
    <w:p>
      <w:pPr>
        <w:pStyle w:val="Style21"/>
        <w:spacing w:lineRule="exact" w:line="200" w:before="120" w:after="0"/>
        <w:rPr>
          <w:rFonts w:ascii="標楷體" w:hAnsi="標楷體" w:eastAsia="標楷體" w:cs="Times New Roman"/>
          <w:b/>
          <w:b/>
          <w:sz w:val="26"/>
          <w:szCs w:val="26"/>
        </w:rPr>
      </w:pPr>
      <w:r>
        <w:rPr>
          <w:rFonts w:eastAsia="標楷體" w:cs="Times New Roman" w:ascii="標楷體" w:hAnsi="標楷體"/>
          <w:b/>
          <w:sz w:val="26"/>
          <w:szCs w:val="26"/>
        </w:rPr>
      </w:r>
    </w:p>
    <w:tbl>
      <w:tblPr>
        <w:tblW w:w="100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555"/>
        <w:gridCol w:w="4110"/>
        <w:gridCol w:w="4409"/>
      </w:tblGrid>
      <w:tr>
        <w:trPr>
          <w:trHeight w:val="370" w:hRule="atLeast"/>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5"/>
              <w:spacing w:lineRule="auto"/>
              <w:jc w:val="center"/>
              <w:rPr>
                <w:rFonts w:ascii="標楷體" w:hAnsi="標楷體"/>
                <w:b/>
                <w:b/>
                <w:bCs/>
                <w:sz w:val="24"/>
                <w:szCs w:val="24"/>
              </w:rPr>
            </w:pPr>
            <w:r>
              <w:rPr>
                <w:rFonts w:ascii="標楷體" w:hAnsi="標楷體"/>
                <w:b/>
                <w:bCs/>
                <w:sz w:val="24"/>
                <w:szCs w:val="24"/>
              </w:rPr>
              <w:t>課程時間</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5"/>
              <w:spacing w:lineRule="auto"/>
              <w:jc w:val="center"/>
              <w:rPr>
                <w:rFonts w:ascii="標楷體" w:hAnsi="標楷體"/>
                <w:b/>
                <w:b/>
                <w:bCs/>
                <w:sz w:val="24"/>
                <w:szCs w:val="24"/>
              </w:rPr>
            </w:pPr>
            <w:r>
              <w:rPr>
                <w:rFonts w:ascii="標楷體" w:hAnsi="標楷體"/>
                <w:b/>
                <w:bCs/>
                <w:sz w:val="24"/>
                <w:szCs w:val="24"/>
              </w:rPr>
              <w:t>課程內容</w:t>
            </w:r>
          </w:p>
        </w:tc>
        <w:tc>
          <w:tcPr>
            <w:tcW w:w="4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5"/>
              <w:spacing w:lineRule="auto"/>
              <w:jc w:val="center"/>
              <w:rPr>
                <w:rFonts w:ascii="標楷體" w:hAnsi="標楷體"/>
                <w:b/>
                <w:b/>
                <w:bCs/>
                <w:sz w:val="24"/>
                <w:szCs w:val="24"/>
              </w:rPr>
            </w:pPr>
            <w:r>
              <w:rPr>
                <w:rFonts w:ascii="標楷體" w:hAnsi="標楷體"/>
                <w:b/>
                <w:bCs/>
                <w:sz w:val="24"/>
                <w:szCs w:val="24"/>
              </w:rPr>
              <w:t>主講者</w:t>
            </w:r>
          </w:p>
        </w:tc>
      </w:tr>
      <w:tr>
        <w:trPr>
          <w:trHeight w:val="346" w:hRule="atLeast"/>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pPr>
            <w:r>
              <w:rPr>
                <w:rStyle w:val="Style14"/>
                <w:rFonts w:ascii="標楷體" w:hAnsi="標楷體"/>
                <w:sz w:val="24"/>
                <w:szCs w:val="24"/>
              </w:rPr>
              <w:t>13:00~13:30</w:t>
            </w:r>
          </w:p>
        </w:tc>
        <w:tc>
          <w:tcPr>
            <w:tcW w:w="85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bCs/>
                <w:sz w:val="24"/>
                <w:szCs w:val="24"/>
              </w:rPr>
            </w:pPr>
            <w:r>
              <w:rPr>
                <w:rFonts w:ascii="標楷體" w:hAnsi="標楷體"/>
                <w:bCs/>
                <w:sz w:val="24"/>
                <w:szCs w:val="24"/>
              </w:rPr>
              <w:t>報到</w:t>
            </w:r>
          </w:p>
        </w:tc>
      </w:tr>
      <w:tr>
        <w:trPr>
          <w:trHeight w:val="370" w:hRule="atLeast"/>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sz w:val="24"/>
                <w:szCs w:val="24"/>
              </w:rPr>
            </w:pPr>
            <w:r>
              <w:rPr>
                <w:rFonts w:ascii="標楷體" w:hAnsi="標楷體"/>
                <w:sz w:val="24"/>
                <w:szCs w:val="24"/>
              </w:rPr>
              <w:t>13:30~15:00</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widowControl/>
              <w:ind w:left="240" w:hanging="240"/>
              <w:rPr>
                <w:rFonts w:ascii="標楷體" w:hAnsi="標楷體" w:eastAsia="標楷體" w:cs="新細明體"/>
                <w:szCs w:val="24"/>
              </w:rPr>
            </w:pPr>
            <w:r>
              <w:rPr>
                <w:rFonts w:ascii="標楷體" w:hAnsi="標楷體" w:cs="新細明體" w:eastAsia="標楷體"/>
                <w:szCs w:val="24"/>
              </w:rPr>
              <w:t>劇透人性</w:t>
            </w:r>
            <w:r>
              <w:rPr>
                <w:rFonts w:eastAsia="標楷體" w:cs="新細明體" w:ascii="標楷體" w:hAnsi="標楷體"/>
                <w:szCs w:val="24"/>
              </w:rPr>
              <w:t>-</w:t>
            </w:r>
            <w:r>
              <w:rPr>
                <w:rFonts w:ascii="標楷體" w:hAnsi="標楷體" w:cs="新細明體" w:eastAsia="標楷體"/>
                <w:szCs w:val="24"/>
              </w:rPr>
              <w:t>追劇陶冶公民素養</w:t>
            </w:r>
            <w:r>
              <w:rPr>
                <w:rFonts w:eastAsia="標楷體" w:cs="新細明體" w:ascii="標楷體" w:hAnsi="標楷體"/>
                <w:szCs w:val="24"/>
              </w:rPr>
              <w:t>(</w:t>
            </w:r>
            <w:r>
              <w:rPr>
                <w:rFonts w:ascii="標楷體" w:hAnsi="標楷體" w:cs="新細明體" w:eastAsia="標楷體"/>
                <w:szCs w:val="24"/>
              </w:rPr>
              <w:t>一</w:t>
            </w:r>
            <w:r>
              <w:rPr>
                <w:rFonts w:eastAsia="標楷體" w:cs="新細明體" w:ascii="標楷體" w:hAnsi="標楷體"/>
                <w:szCs w:val="24"/>
              </w:rPr>
              <w:t>)</w:t>
            </w:r>
          </w:p>
        </w:tc>
        <w:tc>
          <w:tcPr>
            <w:tcW w:w="4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ind w:left="720" w:hanging="720"/>
              <w:rPr>
                <w:rFonts w:ascii="標楷體" w:hAnsi="標楷體"/>
                <w:bCs/>
                <w:sz w:val="24"/>
                <w:szCs w:val="24"/>
              </w:rPr>
            </w:pPr>
            <w:r>
              <w:rPr>
                <w:rFonts w:ascii="標楷體" w:hAnsi="標楷體"/>
                <w:bCs/>
                <w:sz w:val="24"/>
                <w:szCs w:val="24"/>
              </w:rPr>
              <w:t>林孟皇法官</w:t>
            </w:r>
            <w:r>
              <w:rPr>
                <w:rFonts w:ascii="標楷體" w:hAnsi="標楷體"/>
                <w:bCs/>
                <w:sz w:val="24"/>
                <w:szCs w:val="24"/>
              </w:rPr>
              <w:t>/</w:t>
            </w:r>
            <w:r>
              <w:rPr>
                <w:rFonts w:ascii="標楷體" w:hAnsi="標楷體"/>
                <w:bCs/>
                <w:sz w:val="24"/>
                <w:szCs w:val="24"/>
              </w:rPr>
              <w:t>作家、臺灣台北地方法院</w:t>
            </w:r>
          </w:p>
        </w:tc>
      </w:tr>
      <w:tr>
        <w:trPr>
          <w:trHeight w:val="370" w:hRule="atLeast"/>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sz w:val="24"/>
                <w:szCs w:val="24"/>
              </w:rPr>
            </w:pPr>
            <w:r>
              <w:rPr>
                <w:rFonts w:ascii="標楷體" w:hAnsi="標楷體"/>
                <w:sz w:val="24"/>
                <w:szCs w:val="24"/>
              </w:rPr>
              <w:t>15:00~15:30</w:t>
            </w:r>
          </w:p>
        </w:tc>
        <w:tc>
          <w:tcPr>
            <w:tcW w:w="85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ind w:left="720" w:hanging="720"/>
              <w:jc w:val="center"/>
              <w:rPr>
                <w:rFonts w:ascii="標楷體" w:hAnsi="標楷體"/>
                <w:bCs/>
                <w:sz w:val="24"/>
                <w:szCs w:val="24"/>
              </w:rPr>
            </w:pPr>
            <w:r>
              <w:rPr>
                <w:rFonts w:ascii="標楷體" w:hAnsi="標楷體"/>
                <w:bCs/>
                <w:sz w:val="24"/>
                <w:szCs w:val="24"/>
              </w:rPr>
              <w:t>茶敘</w:t>
            </w:r>
          </w:p>
        </w:tc>
      </w:tr>
      <w:tr>
        <w:trPr>
          <w:trHeight w:val="370" w:hRule="atLeast"/>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sz w:val="24"/>
                <w:szCs w:val="24"/>
              </w:rPr>
            </w:pPr>
            <w:r>
              <w:rPr>
                <w:rFonts w:ascii="標楷體" w:hAnsi="標楷體"/>
                <w:sz w:val="24"/>
                <w:szCs w:val="24"/>
              </w:rPr>
              <w:t>15:30~17:00</w:t>
            </w:r>
          </w:p>
        </w:tc>
        <w:tc>
          <w:tcPr>
            <w:tcW w:w="41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widowControl/>
              <w:ind w:left="240" w:hanging="240"/>
              <w:rPr>
                <w:rFonts w:ascii="標楷體" w:hAnsi="標楷體" w:eastAsia="標楷體" w:cs="新細明體"/>
                <w:szCs w:val="24"/>
              </w:rPr>
            </w:pPr>
            <w:r>
              <w:rPr>
                <w:rFonts w:ascii="標楷體" w:hAnsi="標楷體" w:cs="新細明體" w:eastAsia="標楷體"/>
                <w:szCs w:val="24"/>
              </w:rPr>
              <w:t>劇透人性</w:t>
            </w:r>
            <w:r>
              <w:rPr>
                <w:rFonts w:eastAsia="標楷體" w:cs="新細明體" w:ascii="標楷體" w:hAnsi="標楷體"/>
                <w:szCs w:val="24"/>
              </w:rPr>
              <w:t>-</w:t>
            </w:r>
            <w:r>
              <w:rPr>
                <w:rFonts w:ascii="標楷體" w:hAnsi="標楷體" w:cs="新細明體" w:eastAsia="標楷體"/>
                <w:szCs w:val="24"/>
              </w:rPr>
              <w:t>追劇陶冶公民素養</w:t>
            </w:r>
            <w:r>
              <w:rPr>
                <w:rFonts w:eastAsia="標楷體" w:cs="新細明體" w:ascii="標楷體" w:hAnsi="標楷體"/>
                <w:szCs w:val="24"/>
              </w:rPr>
              <w:t>(</w:t>
            </w:r>
            <w:r>
              <w:rPr>
                <w:rFonts w:ascii="標楷體" w:hAnsi="標楷體" w:cs="新細明體" w:eastAsia="標楷體"/>
                <w:szCs w:val="24"/>
              </w:rPr>
              <w:t>二</w:t>
            </w:r>
            <w:r>
              <w:rPr>
                <w:rFonts w:eastAsia="標楷體" w:cs="新細明體" w:ascii="標楷體" w:hAnsi="標楷體"/>
                <w:szCs w:val="24"/>
              </w:rPr>
              <w:t>)</w:t>
            </w:r>
          </w:p>
        </w:tc>
        <w:tc>
          <w:tcPr>
            <w:tcW w:w="4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ind w:left="720" w:hanging="720"/>
              <w:rPr>
                <w:rFonts w:ascii="標楷體" w:hAnsi="標楷體"/>
                <w:bCs/>
                <w:sz w:val="24"/>
                <w:szCs w:val="24"/>
              </w:rPr>
            </w:pPr>
            <w:r>
              <w:rPr>
                <w:rFonts w:ascii="標楷體" w:hAnsi="標楷體"/>
                <w:bCs/>
                <w:sz w:val="24"/>
                <w:szCs w:val="24"/>
              </w:rPr>
              <w:t>林孟皇法官</w:t>
            </w:r>
            <w:r>
              <w:rPr>
                <w:rFonts w:ascii="標楷體" w:hAnsi="標楷體"/>
                <w:bCs/>
                <w:sz w:val="24"/>
                <w:szCs w:val="24"/>
              </w:rPr>
              <w:t>/</w:t>
            </w:r>
            <w:r>
              <w:rPr>
                <w:rFonts w:ascii="標楷體" w:hAnsi="標楷體"/>
                <w:bCs/>
                <w:sz w:val="24"/>
                <w:szCs w:val="24"/>
              </w:rPr>
              <w:t>作家、臺灣台北地方法院</w:t>
            </w:r>
          </w:p>
        </w:tc>
      </w:tr>
      <w:tr>
        <w:trPr>
          <w:trHeight w:val="370" w:hRule="atLeast"/>
        </w:trPr>
        <w:tc>
          <w:tcPr>
            <w:tcW w:w="15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sz w:val="24"/>
                <w:szCs w:val="24"/>
              </w:rPr>
            </w:pPr>
            <w:r>
              <w:rPr>
                <w:rFonts w:ascii="標楷體" w:hAnsi="標楷體"/>
                <w:sz w:val="24"/>
                <w:szCs w:val="24"/>
              </w:rPr>
              <w:t>17:00~18:00</w:t>
            </w:r>
          </w:p>
        </w:tc>
        <w:tc>
          <w:tcPr>
            <w:tcW w:w="85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ind w:left="720" w:hanging="720"/>
              <w:jc w:val="center"/>
              <w:rPr>
                <w:rFonts w:ascii="標楷體" w:hAnsi="標楷體"/>
                <w:bCs/>
                <w:sz w:val="24"/>
                <w:szCs w:val="24"/>
              </w:rPr>
            </w:pPr>
            <w:r>
              <w:rPr>
                <w:rFonts w:ascii="標楷體" w:hAnsi="標楷體"/>
                <w:bCs/>
                <w:sz w:val="24"/>
                <w:szCs w:val="24"/>
              </w:rPr>
              <w:t>綜合座談</w:t>
            </w:r>
          </w:p>
        </w:tc>
      </w:tr>
    </w:tbl>
    <w:p>
      <w:pPr>
        <w:pStyle w:val="Style21"/>
        <w:tabs>
          <w:tab w:val="left" w:pos="2235" w:leader="none"/>
        </w:tabs>
        <w:rPr>
          <w:rFonts w:ascii="標楷體" w:hAnsi="標楷體" w:eastAsia="標楷體"/>
          <w:sz w:val="2"/>
          <w:szCs w:val="24"/>
        </w:rPr>
      </w:pPr>
      <w:r>
        <w:rPr>
          <w:rFonts w:eastAsia="標楷體" w:ascii="標楷體" w:hAnsi="標楷體"/>
          <w:sz w:val="2"/>
          <w:szCs w:val="24"/>
        </w:rPr>
      </w:r>
    </w:p>
    <w:p>
      <w:pPr>
        <w:pStyle w:val="Style21"/>
        <w:tabs>
          <w:tab w:val="left" w:pos="2235" w:leader="none"/>
        </w:tabs>
        <w:rPr>
          <w:rFonts w:ascii="標楷體" w:hAnsi="標楷體" w:eastAsia="標楷體"/>
          <w:sz w:val="2"/>
          <w:szCs w:val="24"/>
        </w:rPr>
      </w:pPr>
      <w:r>
        <w:rPr>
          <w:rFonts w:eastAsia="標楷體" w:ascii="標楷體" w:hAnsi="標楷體"/>
          <w:sz w:val="2"/>
          <w:szCs w:val="24"/>
        </w:rPr>
      </w:r>
    </w:p>
    <w:sectPr>
      <w:type w:val="nextPage"/>
      <w:pgSz w:w="11906" w:h="16838"/>
      <w:pgMar w:left="720" w:right="720" w:header="0" w:top="720" w:footer="0" w:bottom="72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mbria">
    <w:charset w:val="88"/>
    <w:family w:val="roman"/>
    <w:pitch w:val="variable"/>
  </w:font>
  <w:font w:name="Wingdings">
    <w:charset w:val="02"/>
    <w:family w:val="auto"/>
    <w:pitch w:val="variable"/>
  </w:font>
  <w:font w:name="新細明體">
    <w:charset w:val="88"/>
    <w:family w:val="roman"/>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超連結"/>
    <w:basedOn w:val="Style14"/>
    <w:qFormat/>
    <w:rPr>
      <w:color w:val="0000FF"/>
      <w:u w:val="single"/>
    </w:rPr>
  </w:style>
  <w:style w:type="character" w:styleId="Style18">
    <w:name w:val="本文 字元"/>
    <w:basedOn w:val="Style14"/>
    <w:qFormat/>
    <w:rPr>
      <w:rFonts w:ascii="Times New Roman" w:hAnsi="Times New Roman" w:eastAsia="標楷體" w:cs="Times New Roman"/>
      <w:sz w:val="32"/>
      <w:szCs w:val="32"/>
    </w:rPr>
  </w:style>
  <w:style w:type="character" w:styleId="Style19">
    <w:name w:val="已查閱的超連結"/>
    <w:basedOn w:val="Style14"/>
    <w:qFormat/>
    <w:rPr>
      <w:color w:val="800080"/>
      <w:u w:val="single"/>
    </w:rPr>
  </w:style>
  <w:style w:type="character" w:styleId="Style20">
    <w:name w:val="註解方塊文字 字元"/>
    <w:basedOn w:val="Style14"/>
    <w:qFormat/>
    <w:rPr>
      <w:rFonts w:ascii="Cambria" w:hAnsi="Cambria" w:eastAsia="新細明體" w:cs="Times New Roman"/>
      <w:sz w:val="18"/>
      <w:szCs w:val="18"/>
    </w:rPr>
  </w:style>
  <w:style w:type="character" w:styleId="WWCharLFO12LVL1">
    <w:name w:val="WW_CharLFO12LVL1"/>
    <w:qFormat/>
    <w:rPr>
      <w:rFonts w:ascii="Wingdings" w:hAnsi="Wingdings"/>
    </w:rPr>
  </w:style>
  <w:style w:type="character" w:styleId="WWCharLFO12LVL2">
    <w:name w:val="WW_CharLFO12LVL2"/>
    <w:qFormat/>
    <w:rPr>
      <w:rFonts w:ascii="Wingdings" w:hAnsi="Wingdings"/>
    </w:rPr>
  </w:style>
  <w:style w:type="character" w:styleId="WWCharLFO12LVL3">
    <w:name w:val="WW_CharLFO12LVL3"/>
    <w:qFormat/>
    <w:rPr>
      <w:rFonts w:ascii="Wingdings" w:hAnsi="Wingdings"/>
    </w:rPr>
  </w:style>
  <w:style w:type="character" w:styleId="WWCharLFO12LVL4">
    <w:name w:val="WW_CharLFO12LVL4"/>
    <w:qFormat/>
    <w:rPr>
      <w:rFonts w:ascii="Wingdings" w:hAnsi="Wingdings"/>
    </w:rPr>
  </w:style>
  <w:style w:type="character" w:styleId="WWCharLFO12LVL5">
    <w:name w:val="WW_CharLFO12LVL5"/>
    <w:qFormat/>
    <w:rPr>
      <w:rFonts w:ascii="Wingdings" w:hAnsi="Wingdings"/>
    </w:rPr>
  </w:style>
  <w:style w:type="character" w:styleId="WWCharLFO12LVL6">
    <w:name w:val="WW_CharLFO12LVL6"/>
    <w:qFormat/>
    <w:rPr>
      <w:rFonts w:ascii="Wingdings" w:hAnsi="Wingdings"/>
    </w:rPr>
  </w:style>
  <w:style w:type="character" w:styleId="WWCharLFO12LVL7">
    <w:name w:val="WW_CharLFO12LVL7"/>
    <w:qFormat/>
    <w:rPr>
      <w:rFonts w:ascii="Wingdings" w:hAnsi="Wingdings"/>
    </w:rPr>
  </w:style>
  <w:style w:type="character" w:styleId="WWCharLFO12LVL8">
    <w:name w:val="WW_CharLFO12LVL8"/>
    <w:qFormat/>
    <w:rPr>
      <w:rFonts w:ascii="Wingdings" w:hAnsi="Wingdings"/>
    </w:rPr>
  </w:style>
  <w:style w:type="character" w:styleId="WWCharLFO12LVL9">
    <w:name w:val="WW_CharLFO12LVL9"/>
    <w:qFormat/>
    <w:rPr>
      <w:rFonts w:ascii="Wingdings" w:hAnsi="Wingdings"/>
    </w:rPr>
  </w:style>
  <w:style w:type="character" w:styleId="WWCharLFO21LVL1">
    <w:name w:val="WW_CharLFO21LVL1"/>
    <w:qFormat/>
    <w:rPr>
      <w:rFonts w:ascii="Wingdings" w:hAnsi="Wingdings"/>
    </w:rPr>
  </w:style>
  <w:style w:type="character" w:styleId="WWCharLFO21LVL2">
    <w:name w:val="WW_CharLFO21LVL2"/>
    <w:qFormat/>
    <w:rPr>
      <w:rFonts w:ascii="Wingdings" w:hAnsi="Wingdings"/>
    </w:rPr>
  </w:style>
  <w:style w:type="character" w:styleId="WWCharLFO21LVL3">
    <w:name w:val="WW_CharLFO21LVL3"/>
    <w:qFormat/>
    <w:rPr>
      <w:rFonts w:ascii="Wingdings" w:hAnsi="Wingdings"/>
    </w:rPr>
  </w:style>
  <w:style w:type="character" w:styleId="WWCharLFO21LVL4">
    <w:name w:val="WW_CharLFO21LVL4"/>
    <w:qFormat/>
    <w:rPr>
      <w:rFonts w:ascii="Wingdings" w:hAnsi="Wingdings"/>
    </w:rPr>
  </w:style>
  <w:style w:type="character" w:styleId="WWCharLFO21LVL5">
    <w:name w:val="WW_CharLFO21LVL5"/>
    <w:qFormat/>
    <w:rPr>
      <w:rFonts w:ascii="Wingdings" w:hAnsi="Wingdings"/>
    </w:rPr>
  </w:style>
  <w:style w:type="character" w:styleId="WWCharLFO21LVL6">
    <w:name w:val="WW_CharLFO21LVL6"/>
    <w:qFormat/>
    <w:rPr>
      <w:rFonts w:ascii="Wingdings" w:hAnsi="Wingdings"/>
    </w:rPr>
  </w:style>
  <w:style w:type="character" w:styleId="WWCharLFO21LVL7">
    <w:name w:val="WW_CharLFO21LVL7"/>
    <w:qFormat/>
    <w:rPr>
      <w:rFonts w:ascii="Wingdings" w:hAnsi="Wingdings"/>
    </w:rPr>
  </w:style>
  <w:style w:type="character" w:styleId="WWCharLFO21LVL8">
    <w:name w:val="WW_CharLFO21LVL8"/>
    <w:qFormat/>
    <w:rPr>
      <w:rFonts w:ascii="Wingdings" w:hAnsi="Wingdings"/>
    </w:rPr>
  </w:style>
  <w:style w:type="character" w:styleId="WWCharLFO21LVL9">
    <w:name w:val="WW_CharLFO21LVL9"/>
    <w:qFormat/>
    <w:rPr>
      <w:rFonts w:ascii="Wingdings" w:hAnsi="Wingdings"/>
    </w:rPr>
  </w:style>
  <w:style w:type="character" w:styleId="WWCharLFO27LVL1">
    <w:name w:val="WW_CharLFO27LVL1"/>
    <w:qFormat/>
    <w:rPr>
      <w:rFonts w:ascii="Wingdings" w:hAnsi="Wingdings"/>
    </w:rPr>
  </w:style>
  <w:style w:type="character" w:styleId="WWCharLFO27LVL2">
    <w:name w:val="WW_CharLFO27LVL2"/>
    <w:qFormat/>
    <w:rPr>
      <w:rFonts w:ascii="Wingdings" w:hAnsi="Wingdings"/>
    </w:rPr>
  </w:style>
  <w:style w:type="character" w:styleId="WWCharLFO27LVL3">
    <w:name w:val="WW_CharLFO27LVL3"/>
    <w:qFormat/>
    <w:rPr>
      <w:rFonts w:ascii="Wingdings" w:hAnsi="Wingdings"/>
    </w:rPr>
  </w:style>
  <w:style w:type="character" w:styleId="WWCharLFO27LVL4">
    <w:name w:val="WW_CharLFO27LVL4"/>
    <w:qFormat/>
    <w:rPr>
      <w:rFonts w:ascii="Wingdings" w:hAnsi="Wingdings"/>
    </w:rPr>
  </w:style>
  <w:style w:type="character" w:styleId="WWCharLFO27LVL5">
    <w:name w:val="WW_CharLFO27LVL5"/>
    <w:qFormat/>
    <w:rPr>
      <w:rFonts w:ascii="Wingdings" w:hAnsi="Wingdings"/>
    </w:rPr>
  </w:style>
  <w:style w:type="character" w:styleId="WWCharLFO27LVL6">
    <w:name w:val="WW_CharLFO27LVL6"/>
    <w:qFormat/>
    <w:rPr>
      <w:rFonts w:ascii="Wingdings" w:hAnsi="Wingdings"/>
    </w:rPr>
  </w:style>
  <w:style w:type="character" w:styleId="WWCharLFO27LVL7">
    <w:name w:val="WW_CharLFO27LVL7"/>
    <w:qFormat/>
    <w:rPr>
      <w:rFonts w:ascii="Wingdings" w:hAnsi="Wingdings"/>
    </w:rPr>
  </w:style>
  <w:style w:type="character" w:styleId="WWCharLFO27LVL8">
    <w:name w:val="WW_CharLFO27LVL8"/>
    <w:qFormat/>
    <w:rPr>
      <w:rFonts w:ascii="Wingdings" w:hAnsi="Wingdings"/>
    </w:rPr>
  </w:style>
  <w:style w:type="character" w:styleId="WWCharLFO27LVL9">
    <w:name w:val="WW_CharLFO27LVL9"/>
    <w:qFormat/>
    <w:rPr>
      <w:rFonts w:ascii="Wingdings" w:hAnsi="Wingdings"/>
    </w:rPr>
  </w:style>
  <w:style w:type="character" w:styleId="WWCharLFO29LVL1">
    <w:name w:val="WW_CharLFO29LVL1"/>
    <w:qFormat/>
    <w:rPr>
      <w:lang w:val="en-US"/>
    </w:rPr>
  </w:style>
  <w:style w:type="character" w:styleId="WWCharLFO37LVL1">
    <w:name w:val="WW_CharLFO37LVL1"/>
    <w:qFormat/>
    <w:rPr>
      <w:sz w:val="24"/>
      <w:szCs w:val="24"/>
      <w:lang w:val="en-US"/>
    </w:rPr>
  </w:style>
  <w:style w:type="paragraph" w:styleId="Style21">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Style22">
    <w:name w:val="清單段落"/>
    <w:basedOn w:val="Style21"/>
    <w:qFormat/>
    <w:pPr>
      <w:suppressAutoHyphens w:val="true"/>
      <w:ind w:left="480" w:hanging="0"/>
    </w:pPr>
    <w:rPr/>
  </w:style>
  <w:style w:type="paragraph" w:styleId="Style23">
    <w:name w:val="Header"/>
    <w:basedOn w:val="Style21"/>
    <w:pPr>
      <w:tabs>
        <w:tab w:val="center" w:pos="4153" w:leader="none"/>
        <w:tab w:val="right" w:pos="8306" w:leader="none"/>
      </w:tabs>
      <w:suppressAutoHyphens w:val="true"/>
      <w:snapToGrid w:val="false"/>
    </w:pPr>
    <w:rPr>
      <w:sz w:val="20"/>
      <w:szCs w:val="20"/>
    </w:rPr>
  </w:style>
  <w:style w:type="paragraph" w:styleId="Style24">
    <w:name w:val="Footer"/>
    <w:basedOn w:val="Style21"/>
    <w:pPr>
      <w:tabs>
        <w:tab w:val="center" w:pos="4153" w:leader="none"/>
        <w:tab w:val="right" w:pos="8306" w:leader="none"/>
      </w:tabs>
      <w:suppressAutoHyphens w:val="true"/>
      <w:snapToGrid w:val="false"/>
    </w:pPr>
    <w:rPr>
      <w:sz w:val="20"/>
      <w:szCs w:val="20"/>
    </w:rPr>
  </w:style>
  <w:style w:type="paragraph" w:styleId="Web">
    <w:name w:val="內文 (Web)"/>
    <w:basedOn w:val="Style21"/>
    <w:qFormat/>
    <w:pPr>
      <w:widowControl/>
      <w:suppressAutoHyphens w:val="true"/>
      <w:spacing w:before="100" w:after="100"/>
    </w:pPr>
    <w:rPr>
      <w:rFonts w:ascii="新細明體" w:hAnsi="新細明體" w:eastAsia="新細明體" w:cs="新細明體"/>
      <w:szCs w:val="24"/>
    </w:rPr>
  </w:style>
  <w:style w:type="paragraph" w:styleId="Style25">
    <w:name w:val="本文"/>
    <w:basedOn w:val="Style21"/>
    <w:qFormat/>
    <w:pPr>
      <w:suppressAutoHyphens w:val="true"/>
    </w:pPr>
    <w:rPr>
      <w:rFonts w:ascii="Times New Roman" w:hAnsi="Times New Roman" w:eastAsia="標楷體" w:cs="Times New Roman"/>
      <w:sz w:val="32"/>
      <w:szCs w:val="32"/>
    </w:rPr>
  </w:style>
  <w:style w:type="paragraph" w:styleId="Style26">
    <w:name w:val="註解方塊文字"/>
    <w:basedOn w:val="Style21"/>
    <w:qFormat/>
    <w:pPr>
      <w:suppressAutoHyphens w:val="true"/>
    </w:pPr>
    <w:rPr>
      <w:rFonts w:ascii="Cambria" w:hAnsi="Cambria" w:eastAsia="新細明體" w:cs="Times New Roman"/>
      <w:sz w:val="18"/>
      <w:szCs w:val="18"/>
    </w:rPr>
  </w:style>
  <w:style w:type="paragraph" w:styleId="ListParagraph1">
    <w:name w:val="List Paragraph1"/>
    <w:basedOn w:val="Style21"/>
    <w:qFormat/>
    <w:pPr>
      <w:suppressAutoHyphens w:val="true"/>
      <w:ind w:left="480" w:hanging="0"/>
      <w:textAlignment w:val="baseline"/>
    </w:pPr>
    <w:rPr>
      <w:rFonts w:ascii="Calibri" w:hAnsi="Calibri" w:eastAsia="新細明體" w:cs="Calibri"/>
      <w:szCs w:val="24"/>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2</Pages>
  <Words>160</Words>
  <Characters>913</Characters>
  <CharactersWithSpaces>1071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2022-03-08T03:43:00Z</dcterms:created>
  <dc:creator>Beauvoir</dc:creator>
  <dc:description/>
  <dc:language>zh-TW</dc:language>
  <cp:lastModifiedBy>Windows 使用者</cp:lastModifiedBy>
  <cp:lastPrinted>2021-07-23T01:38:00Z</cp:lastPrinted>
  <dcterms:modified xsi:type="dcterms:W3CDTF">2022-03-08T03:43:00Z</dcterms:modified>
  <cp:revision>2</cp:revision>
  <dc:subject/>
  <dc:title/>
</cp:coreProperties>
</file>