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suppressAutoHyphens w:val="true"/>
        <w:spacing w:lineRule="exact" w:line="600"/>
        <w:jc w:val="center"/>
        <w:textAlignment w:val="baseline"/>
        <w:rPr>
          <w:rFonts w:ascii="標楷體" w:hAnsi="標楷體" w:eastAsia="標楷體" w:cs="新細明體"/>
          <w:b/>
          <w:b/>
          <w:bCs/>
          <w:color w:val="000000"/>
          <w:sz w:val="28"/>
          <w:szCs w:val="28"/>
        </w:rPr>
      </w:pPr>
      <w:r>
        <w:rPr>
          <w:rFonts w:ascii="標楷體" w:hAnsi="標楷體" w:cs="新細明體" w:eastAsia="標楷體"/>
          <w:b/>
          <w:bCs/>
          <w:color w:val="000000"/>
          <w:sz w:val="28"/>
          <w:szCs w:val="28"/>
        </w:rPr>
        <w:t>普通型高級中等學校公民與社會學科中心</w:t>
      </w:r>
      <w:r>
        <w:rPr>
          <w:rFonts w:eastAsia="標楷體" w:cs="新細明體" w:ascii="標楷體" w:hAnsi="標楷體"/>
          <w:b/>
          <w:bCs/>
          <w:color w:val="000000"/>
          <w:sz w:val="28"/>
          <w:szCs w:val="28"/>
        </w:rPr>
        <w:t>110</w:t>
      </w:r>
      <w:r>
        <w:rPr>
          <w:rFonts w:ascii="標楷體" w:hAnsi="標楷體" w:cs="新細明體" w:eastAsia="標楷體"/>
          <w:b/>
          <w:bCs/>
          <w:color w:val="000000"/>
          <w:sz w:val="28"/>
          <w:szCs w:val="28"/>
        </w:rPr>
        <w:t>學年度教師專業成長研習實施計畫</w:t>
      </w:r>
    </w:p>
    <w:p>
      <w:pPr>
        <w:pStyle w:val="Style22"/>
        <w:spacing w:lineRule="atLeast" w:line="240"/>
        <w:ind w:left="480" w:hanging="0"/>
        <w:jc w:val="center"/>
        <w:rPr>
          <w:rFonts w:ascii="標楷體" w:hAnsi="標楷體" w:eastAsia="標楷體" w:cs="新細明體"/>
          <w:b/>
          <w:b/>
          <w:bCs/>
          <w:color w:val="000000"/>
          <w:sz w:val="32"/>
          <w:szCs w:val="24"/>
        </w:rPr>
      </w:pPr>
      <w:r>
        <w:rPr>
          <w:rFonts w:ascii="標楷體" w:hAnsi="標楷體" w:cs="新細明體" w:eastAsia="標楷體"/>
          <w:b/>
          <w:bCs/>
          <w:color w:val="000000"/>
          <w:sz w:val="32"/>
          <w:szCs w:val="24"/>
        </w:rPr>
        <w:t>從國際法觀點分析的俄烏衝突</w:t>
      </w:r>
    </w:p>
    <w:p>
      <w:pPr>
        <w:pStyle w:val="Style22"/>
        <w:numPr>
          <w:ilvl w:val="0"/>
          <w:numId w:val="1"/>
        </w:numPr>
        <w:spacing w:before="120" w:after="0"/>
        <w:ind w:left="425" w:hanging="0"/>
        <w:rPr>
          <w:rFonts w:ascii="標楷體" w:hAnsi="標楷體" w:eastAsia="標楷體" w:cs="Times New Roman"/>
          <w:b/>
          <w:b/>
          <w:sz w:val="26"/>
          <w:szCs w:val="26"/>
        </w:rPr>
      </w:pPr>
      <w:r>
        <w:rPr>
          <w:rFonts w:ascii="標楷體" w:hAnsi="標楷體" w:cs="Times New Roman" w:eastAsia="標楷體"/>
          <w:b/>
          <w:sz w:val="26"/>
          <w:szCs w:val="26"/>
        </w:rPr>
        <w:t>計畫依據</w:t>
      </w:r>
    </w:p>
    <w:p>
      <w:pPr>
        <w:pStyle w:val="Style22"/>
        <w:spacing w:lineRule="auto" w:line="480"/>
        <w:ind w:left="851" w:right="110" w:hanging="0"/>
        <w:rPr/>
      </w:pPr>
      <w:r>
        <w:rPr>
          <w:rStyle w:val="Style14"/>
          <w:rFonts w:ascii="標楷體" w:hAnsi="標楷體" w:cs="華康儷楷書" w:eastAsia="標楷體"/>
          <w:color w:val="000000"/>
        </w:rPr>
        <w:t>教育部國民及學前教育署高級中等學校課程推動工作圈及學科群科中心設置與運作要點。</w:t>
      </w:r>
    </w:p>
    <w:p>
      <w:pPr>
        <w:pStyle w:val="Style22"/>
        <w:numPr>
          <w:ilvl w:val="0"/>
          <w:numId w:val="1"/>
        </w:numPr>
        <w:spacing w:before="120" w:after="0"/>
        <w:ind w:left="425" w:hanging="0"/>
        <w:rPr>
          <w:rFonts w:ascii="標楷體" w:hAnsi="標楷體" w:eastAsia="標楷體" w:cs="Times New Roman"/>
          <w:b/>
          <w:b/>
          <w:sz w:val="26"/>
          <w:szCs w:val="26"/>
        </w:rPr>
      </w:pPr>
      <w:r>
        <w:rPr>
          <w:rFonts w:ascii="標楷體" w:hAnsi="標楷體" w:cs="Times New Roman" w:eastAsia="標楷體"/>
          <w:b/>
          <w:sz w:val="26"/>
          <w:szCs w:val="26"/>
        </w:rPr>
        <w:t>目的</w:t>
      </w:r>
    </w:p>
    <w:p>
      <w:pPr>
        <w:pStyle w:val="Style22"/>
        <w:ind w:left="960" w:right="259" w:hanging="0"/>
        <w:rPr>
          <w:rFonts w:ascii="標楷體" w:hAnsi="標楷體" w:eastAsia="標楷體" w:cs="Times New Roman"/>
          <w:szCs w:val="24"/>
        </w:rPr>
      </w:pPr>
      <w:r>
        <w:rPr>
          <w:rFonts w:ascii="標楷體" w:hAnsi="標楷體" w:cs="Times New Roman" w:eastAsia="標楷體"/>
          <w:szCs w:val="24"/>
        </w:rPr>
        <w:t>聯合國憲章第</w:t>
      </w:r>
      <w:r>
        <w:rPr>
          <w:rFonts w:eastAsia="標楷體" w:cs="Times New Roman" w:ascii="標楷體" w:hAnsi="標楷體"/>
          <w:szCs w:val="24"/>
        </w:rPr>
        <w:t>1</w:t>
      </w:r>
      <w:r>
        <w:rPr>
          <w:rFonts w:ascii="標楷體" w:hAnsi="標楷體" w:cs="Times New Roman" w:eastAsia="標楷體"/>
          <w:szCs w:val="24"/>
        </w:rPr>
        <w:t>條說明聯合國的宗旨在於維持國際和平及安全，制止侵略行為或其他和平之破壞；並以和平方法且依正義及國際法之原則，解決足以破壞和平之國際爭端。</w:t>
      </w:r>
    </w:p>
    <w:p>
      <w:pPr>
        <w:pStyle w:val="Style22"/>
        <w:ind w:left="960" w:right="259" w:hanging="0"/>
        <w:rPr>
          <w:rFonts w:ascii="標楷體" w:hAnsi="標楷體" w:eastAsia="標楷體" w:cs="Times New Roman"/>
          <w:szCs w:val="24"/>
        </w:rPr>
      </w:pPr>
      <w:r>
        <w:rPr>
          <w:rFonts w:ascii="標楷體" w:hAnsi="標楷體" w:cs="Times New Roman" w:eastAsia="標楷體"/>
          <w:szCs w:val="24"/>
        </w:rPr>
        <w:t>然而，面對近日來的俄烏衝突，聯合國似乎束手無策，在聯合國安全理事會表決上，俄羅斯代表動用否決權，烏克蘭大使怒斥「戰犯沒有煉獄，是直接下地獄」。</w:t>
      </w:r>
    </w:p>
    <w:p>
      <w:pPr>
        <w:pStyle w:val="Style22"/>
        <w:ind w:left="960" w:right="259" w:hanging="0"/>
        <w:rPr>
          <w:rFonts w:ascii="標楷體" w:hAnsi="標楷體" w:eastAsia="標楷體" w:cs="Times New Roman"/>
          <w:szCs w:val="24"/>
        </w:rPr>
      </w:pPr>
      <w:r>
        <w:rPr>
          <w:rFonts w:ascii="標楷體" w:hAnsi="標楷體" w:cs="Times New Roman" w:eastAsia="標楷體"/>
          <w:szCs w:val="24"/>
        </w:rPr>
        <w:t>面對此一局勢，從國際法的觀點應該要如何分析俄烏衝突？我們又如何帶領學生思考此一衝突背後的觀點呢？</w:t>
      </w:r>
    </w:p>
    <w:p>
      <w:pPr>
        <w:pStyle w:val="Style22"/>
        <w:ind w:left="960" w:right="259" w:hanging="0"/>
        <w:rPr>
          <w:rFonts w:ascii="標楷體" w:hAnsi="標楷體" w:eastAsia="標楷體" w:cs="Times New Roman"/>
          <w:szCs w:val="24"/>
        </w:rPr>
      </w:pPr>
      <w:r>
        <w:rPr>
          <w:rFonts w:ascii="標楷體" w:hAnsi="標楷體" w:cs="Times New Roman" w:eastAsia="標楷體"/>
          <w:szCs w:val="24"/>
        </w:rPr>
        <w:t>公民與社會學科中心邀請國立臺灣海洋大學海洋政策碩士學位學程蔡沛倫教授就國際法觀點討論此一議題，歡迎社會科教師共同在線上參與！</w:t>
      </w:r>
    </w:p>
    <w:p>
      <w:pPr>
        <w:pStyle w:val="Style22"/>
        <w:numPr>
          <w:ilvl w:val="0"/>
          <w:numId w:val="1"/>
        </w:numPr>
        <w:spacing w:before="120" w:after="0"/>
        <w:ind w:left="425" w:hanging="0"/>
        <w:rPr>
          <w:rFonts w:ascii="標楷體" w:hAnsi="標楷體" w:eastAsia="標楷體" w:cs="Times New Roman"/>
          <w:b/>
          <w:b/>
          <w:sz w:val="26"/>
          <w:szCs w:val="26"/>
        </w:rPr>
      </w:pPr>
      <w:r>
        <w:rPr>
          <w:rFonts w:ascii="標楷體" w:hAnsi="標楷體" w:cs="Times New Roman" w:eastAsia="標楷體"/>
          <w:b/>
          <w:sz w:val="26"/>
          <w:szCs w:val="26"/>
        </w:rPr>
        <w:t>辦理單位</w:t>
      </w:r>
    </w:p>
    <w:p>
      <w:pPr>
        <w:pStyle w:val="Style22"/>
        <w:numPr>
          <w:ilvl w:val="1"/>
          <w:numId w:val="1"/>
        </w:numPr>
        <w:ind w:left="1276" w:hanging="0"/>
        <w:rPr/>
      </w:pPr>
      <w:r>
        <w:rPr>
          <w:rStyle w:val="Style14"/>
          <w:rFonts w:ascii="標楷體" w:hAnsi="標楷體" w:cs="Times New Roman" w:eastAsia="標楷體"/>
          <w:szCs w:val="24"/>
        </w:rPr>
        <w:t>指導單位：</w:t>
      </w:r>
      <w:r>
        <w:rPr>
          <w:rStyle w:val="Style14"/>
          <w:rFonts w:ascii="標楷體" w:hAnsi="標楷體" w:eastAsia="標楷體"/>
          <w:bCs/>
          <w:szCs w:val="24"/>
        </w:rPr>
        <w:t>教育部國民及學前教育署</w:t>
      </w:r>
    </w:p>
    <w:p>
      <w:pPr>
        <w:pStyle w:val="Style22"/>
        <w:numPr>
          <w:ilvl w:val="1"/>
          <w:numId w:val="1"/>
        </w:numPr>
        <w:ind w:left="1276" w:hanging="0"/>
        <w:rPr>
          <w:rFonts w:ascii="標楷體" w:hAnsi="標楷體" w:eastAsia="標楷體" w:cs="Times New Roman"/>
          <w:szCs w:val="24"/>
        </w:rPr>
      </w:pPr>
      <w:r>
        <w:rPr>
          <w:rFonts w:ascii="標楷體" w:hAnsi="標楷體" w:cs="Times New Roman" w:eastAsia="標楷體"/>
          <w:szCs w:val="24"/>
        </w:rPr>
        <w:t>主辦單位：公民與社會學科中心學校－國立臺南第一高級中學</w:t>
      </w:r>
    </w:p>
    <w:p>
      <w:pPr>
        <w:pStyle w:val="Style22"/>
        <w:numPr>
          <w:ilvl w:val="0"/>
          <w:numId w:val="1"/>
        </w:numPr>
        <w:spacing w:before="120" w:after="0"/>
        <w:ind w:left="425" w:hanging="0"/>
        <w:rPr>
          <w:rFonts w:ascii="標楷體" w:hAnsi="標楷體" w:eastAsia="標楷體" w:cs="Times New Roman"/>
          <w:b/>
          <w:b/>
          <w:sz w:val="26"/>
          <w:szCs w:val="26"/>
        </w:rPr>
      </w:pPr>
      <w:r>
        <w:rPr>
          <w:rFonts w:ascii="標楷體" w:hAnsi="標楷體" w:cs="Times New Roman" w:eastAsia="標楷體"/>
          <w:b/>
          <w:sz w:val="26"/>
          <w:szCs w:val="26"/>
        </w:rPr>
        <w:t>辦理內容</w:t>
      </w:r>
    </w:p>
    <w:p>
      <w:pPr>
        <w:pStyle w:val="Style22"/>
        <w:numPr>
          <w:ilvl w:val="1"/>
          <w:numId w:val="1"/>
        </w:numPr>
        <w:ind w:left="1276" w:hanging="0"/>
        <w:rPr>
          <w:rFonts w:ascii="標楷體" w:hAnsi="標楷體" w:eastAsia="標楷體" w:cs="新細明體"/>
          <w:szCs w:val="24"/>
        </w:rPr>
      </w:pPr>
      <w:r>
        <w:rPr>
          <w:rFonts w:ascii="標楷體" w:hAnsi="標楷體" w:cs="新細明體" w:eastAsia="標楷體"/>
          <w:szCs w:val="24"/>
        </w:rPr>
        <w:t>參加對象：全國高級中等學校社會科教師</w:t>
      </w:r>
    </w:p>
    <w:p>
      <w:pPr>
        <w:pStyle w:val="Style22"/>
        <w:numPr>
          <w:ilvl w:val="1"/>
          <w:numId w:val="1"/>
        </w:numPr>
        <w:ind w:left="1276" w:hanging="0"/>
        <w:rPr>
          <w:rFonts w:ascii="標楷體" w:hAnsi="標楷體" w:eastAsia="標楷體" w:cs="新細明體"/>
          <w:szCs w:val="24"/>
        </w:rPr>
      </w:pPr>
      <w:r>
        <w:rPr>
          <w:rFonts w:ascii="標楷體" w:hAnsi="標楷體" w:cs="新細明體" w:eastAsia="標楷體"/>
          <w:szCs w:val="24"/>
        </w:rPr>
        <w:t>研習時間：</w:t>
      </w:r>
      <w:r>
        <w:rPr>
          <w:rFonts w:eastAsia="標楷體" w:cs="新細明體" w:ascii="標楷體" w:hAnsi="標楷體"/>
          <w:szCs w:val="24"/>
        </w:rPr>
        <w:t>111</w:t>
      </w:r>
      <w:r>
        <w:rPr>
          <w:rFonts w:ascii="標楷體" w:hAnsi="標楷體" w:cs="新細明體" w:eastAsia="標楷體"/>
          <w:szCs w:val="24"/>
        </w:rPr>
        <w:t>年</w:t>
      </w:r>
      <w:r>
        <w:rPr>
          <w:rFonts w:eastAsia="標楷體" w:cs="新細明體" w:ascii="標楷體" w:hAnsi="標楷體"/>
          <w:szCs w:val="24"/>
        </w:rPr>
        <w:t>3</w:t>
      </w:r>
      <w:r>
        <w:rPr>
          <w:rFonts w:ascii="標楷體" w:hAnsi="標楷體" w:cs="新細明體" w:eastAsia="標楷體"/>
          <w:szCs w:val="24"/>
        </w:rPr>
        <w:t>月</w:t>
      </w:r>
      <w:r>
        <w:rPr>
          <w:rFonts w:eastAsia="標楷體" w:cs="新細明體" w:ascii="標楷體" w:hAnsi="標楷體"/>
          <w:szCs w:val="24"/>
        </w:rPr>
        <w:t>10</w:t>
      </w:r>
      <w:r>
        <w:rPr>
          <w:rFonts w:ascii="標楷體" w:hAnsi="標楷體" w:cs="新細明體" w:eastAsia="標楷體"/>
          <w:szCs w:val="24"/>
        </w:rPr>
        <w:t>日（星期四）晚間</w:t>
      </w:r>
      <w:r>
        <w:rPr>
          <w:rFonts w:eastAsia="標楷體" w:cs="新細明體" w:ascii="標楷體" w:hAnsi="標楷體"/>
          <w:szCs w:val="24"/>
        </w:rPr>
        <w:t>7</w:t>
      </w:r>
      <w:r>
        <w:rPr>
          <w:rFonts w:ascii="標楷體" w:hAnsi="標楷體" w:cs="新細明體" w:eastAsia="標楷體"/>
          <w:szCs w:val="24"/>
        </w:rPr>
        <w:t>時至</w:t>
      </w:r>
      <w:r>
        <w:rPr>
          <w:rFonts w:eastAsia="標楷體" w:cs="新細明體" w:ascii="標楷體" w:hAnsi="標楷體"/>
          <w:szCs w:val="24"/>
        </w:rPr>
        <w:t>20</w:t>
      </w:r>
      <w:r>
        <w:rPr>
          <w:rFonts w:ascii="標楷體" w:hAnsi="標楷體" w:cs="新細明體" w:eastAsia="標楷體"/>
          <w:szCs w:val="24"/>
        </w:rPr>
        <w:t>時</w:t>
      </w:r>
      <w:r>
        <w:rPr>
          <w:rFonts w:eastAsia="標楷體" w:cs="新細明體" w:ascii="標楷體" w:hAnsi="標楷體"/>
          <w:szCs w:val="24"/>
        </w:rPr>
        <w:t>30</w:t>
      </w:r>
      <w:r>
        <w:rPr>
          <w:rFonts w:ascii="標楷體" w:hAnsi="標楷體" w:cs="新細明體" w:eastAsia="標楷體"/>
          <w:szCs w:val="24"/>
        </w:rPr>
        <w:t>分。</w:t>
      </w:r>
    </w:p>
    <w:p>
      <w:pPr>
        <w:pStyle w:val="Style22"/>
        <w:numPr>
          <w:ilvl w:val="1"/>
          <w:numId w:val="1"/>
        </w:numPr>
        <w:ind w:left="1276" w:right="401" w:hanging="0"/>
        <w:rPr>
          <w:rFonts w:ascii="標楷體" w:hAnsi="標楷體" w:eastAsia="標楷體" w:cs="新細明體"/>
          <w:szCs w:val="24"/>
        </w:rPr>
      </w:pPr>
      <w:r>
        <w:rPr>
          <w:rFonts w:ascii="標楷體" w:hAnsi="標楷體" w:cs="新細明體" w:eastAsia="標楷體"/>
          <w:szCs w:val="24"/>
        </w:rPr>
        <w:t>報名方式：請至全國教師在職進修網，依各場次課程代碼搜尋。本次研習採線上課程，「審核通過」之報名教師，於另以</w:t>
      </w:r>
      <w:r>
        <w:rPr>
          <w:rFonts w:eastAsia="標楷體" w:cs="新細明體" w:ascii="標楷體" w:hAnsi="標楷體"/>
          <w:szCs w:val="24"/>
        </w:rPr>
        <w:t>Email</w:t>
      </w:r>
      <w:r>
        <w:rPr>
          <w:rFonts w:ascii="標楷體" w:hAnsi="標楷體" w:cs="新細明體" w:eastAsia="標楷體"/>
          <w:szCs w:val="24"/>
        </w:rPr>
        <w:t>通知</w:t>
      </w:r>
      <w:r>
        <w:rPr>
          <w:rFonts w:eastAsia="標楷體" w:cs="新細明體" w:ascii="標楷體" w:hAnsi="標楷體"/>
          <w:szCs w:val="24"/>
        </w:rPr>
        <w:t>Google meet</w:t>
      </w:r>
      <w:r>
        <w:rPr>
          <w:rFonts w:ascii="標楷體" w:hAnsi="標楷體" w:cs="新細明體" w:eastAsia="標楷體"/>
          <w:szCs w:val="24"/>
        </w:rPr>
        <w:t>連結，故報名時請填寫正確且常用之信箱。研習前三日恕不受理取消報名。</w:t>
      </w:r>
    </w:p>
    <w:p>
      <w:pPr>
        <w:pStyle w:val="Style22"/>
        <w:numPr>
          <w:ilvl w:val="1"/>
          <w:numId w:val="1"/>
        </w:numPr>
        <w:ind w:left="1276" w:hanging="0"/>
        <w:rPr>
          <w:rFonts w:ascii="標楷體" w:hAnsi="標楷體" w:eastAsia="標楷體" w:cs="新細明體"/>
          <w:szCs w:val="24"/>
        </w:rPr>
      </w:pPr>
      <w:r>
        <w:rPr>
          <w:rFonts w:ascii="標楷體" w:hAnsi="標楷體" w:cs="新細明體" w:eastAsia="標楷體"/>
          <w:szCs w:val="24"/>
        </w:rPr>
        <w:t>注意事項：</w:t>
      </w:r>
    </w:p>
    <w:p>
      <w:pPr>
        <w:pStyle w:val="Style25"/>
        <w:numPr>
          <w:ilvl w:val="0"/>
          <w:numId w:val="2"/>
        </w:numPr>
        <w:spacing w:lineRule="exact" w:line="400"/>
        <w:ind w:left="1276" w:hanging="0"/>
        <w:jc w:val="both"/>
        <w:rPr/>
      </w:pPr>
      <w:r>
        <w:rPr>
          <w:rStyle w:val="Style14"/>
          <w:sz w:val="24"/>
        </w:rPr>
        <w:t>請於報到時間晚間</w:t>
      </w:r>
      <w:r>
        <w:rPr>
          <w:rStyle w:val="Style14"/>
          <w:sz w:val="24"/>
        </w:rPr>
        <w:t>6</w:t>
      </w:r>
      <w:r>
        <w:rPr>
          <w:rStyle w:val="Style14"/>
          <w:sz w:val="24"/>
        </w:rPr>
        <w:t>時</w:t>
      </w:r>
      <w:r>
        <w:rPr>
          <w:rStyle w:val="Style14"/>
          <w:sz w:val="24"/>
        </w:rPr>
        <w:t>45</w:t>
      </w:r>
      <w:r>
        <w:rPr>
          <w:rStyle w:val="Style14"/>
          <w:sz w:val="24"/>
        </w:rPr>
        <w:t>分</w:t>
      </w:r>
      <w:r>
        <w:rPr>
          <w:rStyle w:val="Style14"/>
          <w:color w:val="000000"/>
          <w:sz w:val="24"/>
        </w:rPr>
        <w:t>登入</w:t>
      </w:r>
      <w:r>
        <w:rPr>
          <w:rStyle w:val="Style14"/>
          <w:color w:val="000000"/>
          <w:sz w:val="24"/>
        </w:rPr>
        <w:t>google meet</w:t>
      </w:r>
      <w:r>
        <w:rPr>
          <w:rStyle w:val="Style14"/>
          <w:color w:val="000000"/>
          <w:sz w:val="24"/>
        </w:rPr>
        <w:t>準時上線且全程參與研習。</w:t>
      </w:r>
    </w:p>
    <w:p>
      <w:pPr>
        <w:pStyle w:val="Style25"/>
        <w:numPr>
          <w:ilvl w:val="0"/>
          <w:numId w:val="2"/>
        </w:numPr>
        <w:tabs>
          <w:tab w:val="left" w:pos="-283" w:leader="none"/>
        </w:tabs>
        <w:spacing w:lineRule="exact" w:line="400"/>
        <w:ind w:left="1276" w:hanging="0"/>
        <w:jc w:val="both"/>
        <w:rPr/>
      </w:pPr>
      <w:r>
        <w:rPr>
          <w:rStyle w:val="Style14"/>
          <w:color w:val="000000"/>
          <w:sz w:val="24"/>
        </w:rPr>
        <w:t>請務必先將</w:t>
      </w:r>
      <w:r>
        <w:rPr>
          <w:rStyle w:val="Style14"/>
          <w:color w:val="000000"/>
          <w:sz w:val="24"/>
        </w:rPr>
        <w:t>Google</w:t>
      </w:r>
      <w:r>
        <w:rPr>
          <w:rStyle w:val="Style14"/>
          <w:color w:val="000000"/>
          <w:sz w:val="24"/>
        </w:rPr>
        <w:t>帳號顯示名稱更改為中文全名，以利後續工作人員核對上線名單。</w:t>
      </w:r>
    </w:p>
    <w:p>
      <w:pPr>
        <w:pStyle w:val="Style25"/>
        <w:numPr>
          <w:ilvl w:val="0"/>
          <w:numId w:val="2"/>
        </w:numPr>
        <w:tabs>
          <w:tab w:val="left" w:pos="-283" w:leader="none"/>
        </w:tabs>
        <w:spacing w:lineRule="exact" w:line="400"/>
        <w:ind w:left="1276" w:hanging="0"/>
        <w:jc w:val="both"/>
        <w:rPr>
          <w:color w:val="000000"/>
          <w:sz w:val="24"/>
        </w:rPr>
      </w:pPr>
      <w:r>
        <w:rPr>
          <w:color w:val="000000"/>
          <w:sz w:val="24"/>
        </w:rPr>
        <w:t>請與會教師於課程結束後填寫回饋問卷</w:t>
      </w:r>
      <w:r>
        <w:rPr>
          <w:color w:val="000000"/>
          <w:sz w:val="24"/>
        </w:rPr>
        <w:t>(</w:t>
      </w:r>
      <w:r>
        <w:rPr>
          <w:color w:val="000000"/>
          <w:sz w:val="24"/>
        </w:rPr>
        <w:t>連結於研習結束後提供</w:t>
      </w:r>
      <w:r>
        <w:rPr>
          <w:color w:val="000000"/>
          <w:sz w:val="24"/>
        </w:rPr>
        <w:t>)</w:t>
      </w:r>
      <w:r>
        <w:rPr>
          <w:color w:val="000000"/>
          <w:sz w:val="24"/>
        </w:rPr>
        <w:t>，以利中心核發研習時數。</w:t>
      </w:r>
    </w:p>
    <w:p>
      <w:pPr>
        <w:pStyle w:val="Style25"/>
        <w:numPr>
          <w:ilvl w:val="0"/>
          <w:numId w:val="2"/>
        </w:numPr>
        <w:tabs>
          <w:tab w:val="left" w:pos="-283" w:leader="none"/>
        </w:tabs>
        <w:spacing w:lineRule="exact" w:line="400"/>
        <w:ind w:left="1276" w:hanging="0"/>
        <w:jc w:val="both"/>
        <w:rPr>
          <w:color w:val="000000"/>
          <w:sz w:val="24"/>
        </w:rPr>
      </w:pPr>
      <w:r>
        <w:rPr>
          <w:color w:val="000000"/>
          <w:sz w:val="24"/>
        </w:rPr>
        <w:t>基於個資法與智財權的考量，與會教師請勿錄音、翻拍。本研習課程內容與課程資料，經講師同意並授權後，另置放於學科中心資源平台，提供老師們參考使用。</w:t>
      </w:r>
    </w:p>
    <w:p>
      <w:pPr>
        <w:pStyle w:val="Style22"/>
        <w:numPr>
          <w:ilvl w:val="1"/>
          <w:numId w:val="1"/>
        </w:numPr>
        <w:ind w:left="1276" w:hanging="0"/>
        <w:rPr/>
      </w:pPr>
      <w:r>
        <w:rPr>
          <w:rStyle w:val="Style14"/>
          <w:rFonts w:ascii="標楷體" w:hAnsi="標楷體" w:cs="新細明體" w:eastAsia="標楷體"/>
          <w:color w:val="000000"/>
          <w:szCs w:val="24"/>
        </w:rPr>
        <w:t>聯絡人：公民與社會學科中心助理 顏淳妮小姐，電話</w:t>
      </w:r>
      <w:r>
        <w:rPr>
          <w:rStyle w:val="Style14"/>
          <w:rFonts w:eastAsia="標楷體" w:cs="新細明體" w:ascii="標楷體" w:hAnsi="標楷體"/>
          <w:color w:val="000000"/>
          <w:szCs w:val="24"/>
        </w:rPr>
        <w:t>06-2371206#601</w:t>
      </w:r>
      <w:r>
        <w:rPr>
          <w:rStyle w:val="Style14"/>
          <w:rFonts w:ascii="標楷體" w:hAnsi="標楷體" w:cs="新細明體" w:eastAsia="標楷體"/>
          <w:color w:val="000000"/>
          <w:szCs w:val="24"/>
        </w:rPr>
        <w:t>，電子郵件</w:t>
      </w:r>
      <w:r>
        <w:rPr>
          <w:rStyle w:val="Style14"/>
          <w:rFonts w:eastAsia="標楷體" w:cs="新細明體" w:ascii="標楷體" w:hAnsi="標楷體"/>
          <w:szCs w:val="24"/>
        </w:rPr>
        <w:t>chunni@gm.tnfsh.tn.edu.tw</w:t>
      </w:r>
    </w:p>
    <w:p>
      <w:pPr>
        <w:pStyle w:val="Style22"/>
        <w:numPr>
          <w:ilvl w:val="0"/>
          <w:numId w:val="1"/>
        </w:numPr>
        <w:spacing w:before="120" w:after="0"/>
        <w:ind w:left="425" w:hanging="0"/>
        <w:rPr>
          <w:rFonts w:ascii="標楷體" w:hAnsi="標楷體" w:eastAsia="標楷體" w:cs="Times New Roman"/>
          <w:b/>
          <w:b/>
          <w:sz w:val="26"/>
          <w:szCs w:val="26"/>
        </w:rPr>
      </w:pPr>
      <w:r>
        <w:rPr>
          <w:rFonts w:ascii="標楷體" w:hAnsi="標楷體" w:cs="Times New Roman" w:eastAsia="標楷體"/>
          <w:b/>
          <w:sz w:val="26"/>
          <w:szCs w:val="26"/>
        </w:rPr>
        <w:t>課程時間及內容</w:t>
      </w:r>
    </w:p>
    <w:p>
      <w:pPr>
        <w:pStyle w:val="Style21"/>
        <w:spacing w:lineRule="exact" w:line="200" w:before="120" w:after="0"/>
        <w:rPr>
          <w:rFonts w:ascii="標楷體" w:hAnsi="標楷體" w:eastAsia="標楷體" w:cs="Times New Roman"/>
          <w:b/>
          <w:b/>
          <w:sz w:val="26"/>
          <w:szCs w:val="26"/>
        </w:rPr>
      </w:pPr>
      <w:r>
        <w:rPr>
          <w:rFonts w:eastAsia="標楷體" w:cs="Times New Roman" w:ascii="標楷體" w:hAnsi="標楷體"/>
          <w:b/>
          <w:sz w:val="26"/>
          <w:szCs w:val="26"/>
        </w:rPr>
      </w:r>
    </w:p>
    <w:tbl>
      <w:tblPr>
        <w:tblW w:w="100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1696"/>
        <w:gridCol w:w="3686"/>
        <w:gridCol w:w="4692"/>
      </w:tblGrid>
      <w:tr>
        <w:trPr>
          <w:trHeight w:val="370" w:hRule="atLeast"/>
        </w:trPr>
        <w:tc>
          <w:tcPr>
            <w:tcW w:w="1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5"/>
              <w:spacing w:lineRule="auto"/>
              <w:jc w:val="center"/>
              <w:rPr>
                <w:rFonts w:ascii="標楷體" w:hAnsi="標楷體"/>
                <w:b/>
                <w:b/>
                <w:bCs/>
                <w:sz w:val="24"/>
                <w:szCs w:val="24"/>
              </w:rPr>
            </w:pPr>
            <w:r>
              <w:rPr>
                <w:rFonts w:ascii="標楷體" w:hAnsi="標楷體"/>
                <w:b/>
                <w:bCs/>
                <w:sz w:val="24"/>
                <w:szCs w:val="24"/>
              </w:rPr>
              <w:t>課程時間</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5"/>
              <w:spacing w:lineRule="auto"/>
              <w:jc w:val="center"/>
              <w:rPr>
                <w:rFonts w:ascii="標楷體" w:hAnsi="標楷體"/>
                <w:b/>
                <w:b/>
                <w:bCs/>
                <w:sz w:val="24"/>
                <w:szCs w:val="24"/>
              </w:rPr>
            </w:pPr>
            <w:r>
              <w:rPr>
                <w:rFonts w:ascii="標楷體" w:hAnsi="標楷體"/>
                <w:b/>
                <w:bCs/>
                <w:sz w:val="24"/>
                <w:szCs w:val="24"/>
              </w:rPr>
              <w:t>課程內容</w:t>
            </w:r>
          </w:p>
        </w:tc>
        <w:tc>
          <w:tcPr>
            <w:tcW w:w="4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5"/>
              <w:spacing w:lineRule="auto"/>
              <w:jc w:val="center"/>
              <w:rPr>
                <w:rFonts w:ascii="標楷體" w:hAnsi="標楷體"/>
                <w:b/>
                <w:b/>
                <w:bCs/>
                <w:sz w:val="24"/>
                <w:szCs w:val="24"/>
              </w:rPr>
            </w:pPr>
            <w:r>
              <w:rPr>
                <w:rFonts w:ascii="標楷體" w:hAnsi="標楷體"/>
                <w:b/>
                <w:bCs/>
                <w:sz w:val="24"/>
                <w:szCs w:val="24"/>
              </w:rPr>
              <w:t>主講者</w:t>
            </w:r>
          </w:p>
        </w:tc>
      </w:tr>
      <w:tr>
        <w:trPr>
          <w:trHeight w:val="346" w:hRule="atLeast"/>
        </w:trPr>
        <w:tc>
          <w:tcPr>
            <w:tcW w:w="1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spacing w:lineRule="auto"/>
              <w:jc w:val="center"/>
              <w:rPr/>
            </w:pPr>
            <w:r>
              <w:rPr>
                <w:rStyle w:val="Style14"/>
                <w:rFonts w:ascii="標楷體" w:hAnsi="標楷體"/>
                <w:sz w:val="24"/>
                <w:szCs w:val="24"/>
              </w:rPr>
              <w:t>18:30~19:00</w:t>
            </w:r>
          </w:p>
        </w:tc>
        <w:tc>
          <w:tcPr>
            <w:tcW w:w="837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spacing w:lineRule="auto"/>
              <w:jc w:val="center"/>
              <w:rPr>
                <w:rFonts w:ascii="標楷體" w:hAnsi="標楷體"/>
                <w:bCs/>
                <w:sz w:val="24"/>
                <w:szCs w:val="24"/>
              </w:rPr>
            </w:pPr>
            <w:r>
              <w:rPr>
                <w:rFonts w:ascii="標楷體" w:hAnsi="標楷體"/>
                <w:bCs/>
                <w:sz w:val="24"/>
                <w:szCs w:val="24"/>
              </w:rPr>
              <w:t>報到</w:t>
            </w:r>
          </w:p>
        </w:tc>
      </w:tr>
      <w:tr>
        <w:trPr>
          <w:trHeight w:val="370" w:hRule="atLeast"/>
        </w:trPr>
        <w:tc>
          <w:tcPr>
            <w:tcW w:w="16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spacing w:lineRule="auto"/>
              <w:jc w:val="center"/>
              <w:rPr>
                <w:rFonts w:ascii="標楷體" w:hAnsi="標楷體"/>
                <w:sz w:val="24"/>
                <w:szCs w:val="24"/>
              </w:rPr>
            </w:pPr>
            <w:r>
              <w:rPr>
                <w:rFonts w:ascii="標楷體" w:hAnsi="標楷體"/>
                <w:sz w:val="24"/>
                <w:szCs w:val="24"/>
              </w:rPr>
              <w:t>19:00~20:30</w:t>
            </w:r>
          </w:p>
        </w:tc>
        <w:tc>
          <w:tcPr>
            <w:tcW w:w="36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widowControl/>
              <w:ind w:left="240" w:hanging="240"/>
              <w:rPr>
                <w:rFonts w:ascii="標楷體" w:hAnsi="標楷體" w:eastAsia="標楷體" w:cs="新細明體"/>
                <w:szCs w:val="24"/>
              </w:rPr>
            </w:pPr>
            <w:r>
              <w:rPr>
                <w:rFonts w:ascii="標楷體" w:hAnsi="標楷體" w:cs="新細明體" w:eastAsia="標楷體"/>
                <w:szCs w:val="24"/>
              </w:rPr>
              <w:t>從國際法觀點分析的俄烏衝突</w:t>
            </w:r>
          </w:p>
        </w:tc>
        <w:tc>
          <w:tcPr>
            <w:tcW w:w="4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5"/>
              <w:spacing w:lineRule="auto"/>
              <w:ind w:left="720" w:hanging="720"/>
              <w:rPr>
                <w:rFonts w:ascii="標楷體" w:hAnsi="標楷體"/>
                <w:bCs/>
                <w:sz w:val="24"/>
                <w:szCs w:val="24"/>
              </w:rPr>
            </w:pPr>
            <w:r>
              <w:rPr>
                <w:rFonts w:ascii="標楷體" w:hAnsi="標楷體"/>
                <w:bCs/>
                <w:sz w:val="24"/>
                <w:szCs w:val="24"/>
              </w:rPr>
              <w:t>講師：蔡沛倫教授</w:t>
            </w:r>
            <w:r>
              <w:rPr>
                <w:rFonts w:ascii="標楷體" w:hAnsi="標楷體"/>
                <w:bCs/>
                <w:sz w:val="24"/>
                <w:szCs w:val="24"/>
              </w:rPr>
              <w:t>/</w:t>
            </w:r>
            <w:r>
              <w:rPr>
                <w:rFonts w:ascii="標楷體" w:hAnsi="標楷體"/>
                <w:bCs/>
                <w:sz w:val="24"/>
                <w:szCs w:val="24"/>
              </w:rPr>
              <w:t>國立臺灣海洋大學海洋政策碩士學位學程</w:t>
            </w:r>
          </w:p>
        </w:tc>
      </w:tr>
    </w:tbl>
    <w:p>
      <w:pPr>
        <w:pStyle w:val="Style21"/>
        <w:tabs>
          <w:tab w:val="left" w:pos="2235" w:leader="none"/>
        </w:tabs>
        <w:rPr>
          <w:rFonts w:ascii="標楷體" w:hAnsi="標楷體" w:eastAsia="標楷體"/>
          <w:sz w:val="2"/>
          <w:szCs w:val="24"/>
        </w:rPr>
      </w:pPr>
      <w:r>
        <w:rPr>
          <w:rFonts w:eastAsia="標楷體" w:ascii="標楷體" w:hAnsi="標楷體"/>
          <w:sz w:val="2"/>
          <w:szCs w:val="24"/>
        </w:rPr>
      </w:r>
    </w:p>
    <w:p>
      <w:pPr>
        <w:pStyle w:val="Style21"/>
        <w:tabs>
          <w:tab w:val="left" w:pos="2235" w:leader="none"/>
        </w:tabs>
        <w:rPr>
          <w:rFonts w:ascii="標楷體" w:hAnsi="標楷體" w:eastAsia="標楷體"/>
          <w:sz w:val="2"/>
          <w:szCs w:val="24"/>
        </w:rPr>
      </w:pPr>
      <w:r>
        <w:rPr>
          <w:rFonts w:eastAsia="標楷體" w:ascii="標楷體" w:hAnsi="標楷體"/>
          <w:sz w:val="2"/>
          <w:szCs w:val="24"/>
        </w:rPr>
      </w:r>
    </w:p>
    <w:sectPr>
      <w:type w:val="nextPage"/>
      <w:pgSz w:w="11906" w:h="16838"/>
      <w:pgMar w:left="720" w:right="720" w:header="0" w:top="720" w:footer="0" w:bottom="720"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Times New Roman">
    <w:charset w:val="88"/>
    <w:family w:val="roman"/>
    <w:pitch w:val="variable"/>
  </w:font>
  <w:font w:name="Cambria">
    <w:charset w:val="88"/>
    <w:family w:val="roman"/>
    <w:pitch w:val="variable"/>
  </w:font>
  <w:font w:name="Wingdings">
    <w:charset w:val="02"/>
    <w:family w:val="auto"/>
    <w:pitch w:val="variable"/>
  </w:font>
  <w:font w:name="新細明體">
    <w:charset w:val="88"/>
    <w:family w:val="roman"/>
    <w:pitch w:val="variable"/>
  </w:font>
  <w:font w:name="標楷體">
    <w:charset w:val="88"/>
    <w:family w:val="script"/>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sz w:val="24"/>
        <w:szCs w:val="22"/>
        <w:lang w:val="en-US" w:eastAsia="zh-TW" w:bidi="ar-SA"/>
      </w:rPr>
    </w:rPrDefault>
    <w:pPrDefault>
      <w:pPr>
        <w:widowControl/>
        <w:suppressAutoHyphens w:val="false"/>
      </w:pPr>
    </w:pPrDefault>
  </w:docDefaults>
  <w:style w:type="paragraph" w:styleId="Normal">
    <w:name w:val="Normal"/>
    <w:qFormat/>
    <w:pPr>
      <w:keepNext/>
      <w:keepLines w:val="false"/>
      <w:pageBreakBefore w:val="false"/>
      <w:widowControl/>
      <w:pBdr/>
      <w:shd w:fill="FFFFFF" w:val="clear"/>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character" w:styleId="Style17">
    <w:name w:val="超連結"/>
    <w:basedOn w:val="Style14"/>
    <w:qFormat/>
    <w:rPr>
      <w:color w:val="0000FF"/>
      <w:u w:val="single"/>
    </w:rPr>
  </w:style>
  <w:style w:type="character" w:styleId="Style18">
    <w:name w:val="本文 字元"/>
    <w:basedOn w:val="Style14"/>
    <w:qFormat/>
    <w:rPr>
      <w:rFonts w:ascii="Times New Roman" w:hAnsi="Times New Roman" w:eastAsia="標楷體" w:cs="Times New Roman"/>
      <w:sz w:val="32"/>
      <w:szCs w:val="32"/>
    </w:rPr>
  </w:style>
  <w:style w:type="character" w:styleId="Style19">
    <w:name w:val="已查閱的超連結"/>
    <w:basedOn w:val="Style14"/>
    <w:qFormat/>
    <w:rPr>
      <w:color w:val="800080"/>
      <w:u w:val="single"/>
    </w:rPr>
  </w:style>
  <w:style w:type="character" w:styleId="Style20">
    <w:name w:val="註解方塊文字 字元"/>
    <w:basedOn w:val="Style14"/>
    <w:qFormat/>
    <w:rPr>
      <w:rFonts w:ascii="Cambria" w:hAnsi="Cambria" w:eastAsia="新細明體" w:cs="Times New Roman"/>
      <w:sz w:val="18"/>
      <w:szCs w:val="18"/>
    </w:rPr>
  </w:style>
  <w:style w:type="character" w:styleId="WWCharLFO12LVL1">
    <w:name w:val="WW_CharLFO12LVL1"/>
    <w:qFormat/>
    <w:rPr>
      <w:rFonts w:ascii="Wingdings" w:hAnsi="Wingdings"/>
    </w:rPr>
  </w:style>
  <w:style w:type="character" w:styleId="WWCharLFO12LVL2">
    <w:name w:val="WW_CharLFO12LVL2"/>
    <w:qFormat/>
    <w:rPr>
      <w:rFonts w:ascii="Wingdings" w:hAnsi="Wingdings"/>
    </w:rPr>
  </w:style>
  <w:style w:type="character" w:styleId="WWCharLFO12LVL3">
    <w:name w:val="WW_CharLFO12LVL3"/>
    <w:qFormat/>
    <w:rPr>
      <w:rFonts w:ascii="Wingdings" w:hAnsi="Wingdings"/>
    </w:rPr>
  </w:style>
  <w:style w:type="character" w:styleId="WWCharLFO12LVL4">
    <w:name w:val="WW_CharLFO12LVL4"/>
    <w:qFormat/>
    <w:rPr>
      <w:rFonts w:ascii="Wingdings" w:hAnsi="Wingdings"/>
    </w:rPr>
  </w:style>
  <w:style w:type="character" w:styleId="WWCharLFO12LVL5">
    <w:name w:val="WW_CharLFO12LVL5"/>
    <w:qFormat/>
    <w:rPr>
      <w:rFonts w:ascii="Wingdings" w:hAnsi="Wingdings"/>
    </w:rPr>
  </w:style>
  <w:style w:type="character" w:styleId="WWCharLFO12LVL6">
    <w:name w:val="WW_CharLFO12LVL6"/>
    <w:qFormat/>
    <w:rPr>
      <w:rFonts w:ascii="Wingdings" w:hAnsi="Wingdings"/>
    </w:rPr>
  </w:style>
  <w:style w:type="character" w:styleId="WWCharLFO12LVL7">
    <w:name w:val="WW_CharLFO12LVL7"/>
    <w:qFormat/>
    <w:rPr>
      <w:rFonts w:ascii="Wingdings" w:hAnsi="Wingdings"/>
    </w:rPr>
  </w:style>
  <w:style w:type="character" w:styleId="WWCharLFO12LVL8">
    <w:name w:val="WW_CharLFO12LVL8"/>
    <w:qFormat/>
    <w:rPr>
      <w:rFonts w:ascii="Wingdings" w:hAnsi="Wingdings"/>
    </w:rPr>
  </w:style>
  <w:style w:type="character" w:styleId="WWCharLFO12LVL9">
    <w:name w:val="WW_CharLFO12LVL9"/>
    <w:qFormat/>
    <w:rPr>
      <w:rFonts w:ascii="Wingdings" w:hAnsi="Wingdings"/>
    </w:rPr>
  </w:style>
  <w:style w:type="character" w:styleId="WWCharLFO21LVL1">
    <w:name w:val="WW_CharLFO21LVL1"/>
    <w:qFormat/>
    <w:rPr>
      <w:rFonts w:ascii="Wingdings" w:hAnsi="Wingdings"/>
    </w:rPr>
  </w:style>
  <w:style w:type="character" w:styleId="WWCharLFO21LVL2">
    <w:name w:val="WW_CharLFO21LVL2"/>
    <w:qFormat/>
    <w:rPr>
      <w:rFonts w:ascii="Wingdings" w:hAnsi="Wingdings"/>
    </w:rPr>
  </w:style>
  <w:style w:type="character" w:styleId="WWCharLFO21LVL3">
    <w:name w:val="WW_CharLFO21LVL3"/>
    <w:qFormat/>
    <w:rPr>
      <w:rFonts w:ascii="Wingdings" w:hAnsi="Wingdings"/>
    </w:rPr>
  </w:style>
  <w:style w:type="character" w:styleId="WWCharLFO21LVL4">
    <w:name w:val="WW_CharLFO21LVL4"/>
    <w:qFormat/>
    <w:rPr>
      <w:rFonts w:ascii="Wingdings" w:hAnsi="Wingdings"/>
    </w:rPr>
  </w:style>
  <w:style w:type="character" w:styleId="WWCharLFO21LVL5">
    <w:name w:val="WW_CharLFO21LVL5"/>
    <w:qFormat/>
    <w:rPr>
      <w:rFonts w:ascii="Wingdings" w:hAnsi="Wingdings"/>
    </w:rPr>
  </w:style>
  <w:style w:type="character" w:styleId="WWCharLFO21LVL6">
    <w:name w:val="WW_CharLFO21LVL6"/>
    <w:qFormat/>
    <w:rPr>
      <w:rFonts w:ascii="Wingdings" w:hAnsi="Wingdings"/>
    </w:rPr>
  </w:style>
  <w:style w:type="character" w:styleId="WWCharLFO21LVL7">
    <w:name w:val="WW_CharLFO21LVL7"/>
    <w:qFormat/>
    <w:rPr>
      <w:rFonts w:ascii="Wingdings" w:hAnsi="Wingdings"/>
    </w:rPr>
  </w:style>
  <w:style w:type="character" w:styleId="WWCharLFO21LVL8">
    <w:name w:val="WW_CharLFO21LVL8"/>
    <w:qFormat/>
    <w:rPr>
      <w:rFonts w:ascii="Wingdings" w:hAnsi="Wingdings"/>
    </w:rPr>
  </w:style>
  <w:style w:type="character" w:styleId="WWCharLFO21LVL9">
    <w:name w:val="WW_CharLFO21LVL9"/>
    <w:qFormat/>
    <w:rPr>
      <w:rFonts w:ascii="Wingdings" w:hAnsi="Wingdings"/>
    </w:rPr>
  </w:style>
  <w:style w:type="character" w:styleId="WWCharLFO27LVL1">
    <w:name w:val="WW_CharLFO27LVL1"/>
    <w:qFormat/>
    <w:rPr>
      <w:rFonts w:ascii="Wingdings" w:hAnsi="Wingdings"/>
    </w:rPr>
  </w:style>
  <w:style w:type="character" w:styleId="WWCharLFO27LVL2">
    <w:name w:val="WW_CharLFO27LVL2"/>
    <w:qFormat/>
    <w:rPr>
      <w:rFonts w:ascii="Wingdings" w:hAnsi="Wingdings"/>
    </w:rPr>
  </w:style>
  <w:style w:type="character" w:styleId="WWCharLFO27LVL3">
    <w:name w:val="WW_CharLFO27LVL3"/>
    <w:qFormat/>
    <w:rPr>
      <w:rFonts w:ascii="Wingdings" w:hAnsi="Wingdings"/>
    </w:rPr>
  </w:style>
  <w:style w:type="character" w:styleId="WWCharLFO27LVL4">
    <w:name w:val="WW_CharLFO27LVL4"/>
    <w:qFormat/>
    <w:rPr>
      <w:rFonts w:ascii="Wingdings" w:hAnsi="Wingdings"/>
    </w:rPr>
  </w:style>
  <w:style w:type="character" w:styleId="WWCharLFO27LVL5">
    <w:name w:val="WW_CharLFO27LVL5"/>
    <w:qFormat/>
    <w:rPr>
      <w:rFonts w:ascii="Wingdings" w:hAnsi="Wingdings"/>
    </w:rPr>
  </w:style>
  <w:style w:type="character" w:styleId="WWCharLFO27LVL6">
    <w:name w:val="WW_CharLFO27LVL6"/>
    <w:qFormat/>
    <w:rPr>
      <w:rFonts w:ascii="Wingdings" w:hAnsi="Wingdings"/>
    </w:rPr>
  </w:style>
  <w:style w:type="character" w:styleId="WWCharLFO27LVL7">
    <w:name w:val="WW_CharLFO27LVL7"/>
    <w:qFormat/>
    <w:rPr>
      <w:rFonts w:ascii="Wingdings" w:hAnsi="Wingdings"/>
    </w:rPr>
  </w:style>
  <w:style w:type="character" w:styleId="WWCharLFO27LVL8">
    <w:name w:val="WW_CharLFO27LVL8"/>
    <w:qFormat/>
    <w:rPr>
      <w:rFonts w:ascii="Wingdings" w:hAnsi="Wingdings"/>
    </w:rPr>
  </w:style>
  <w:style w:type="character" w:styleId="WWCharLFO27LVL9">
    <w:name w:val="WW_CharLFO27LVL9"/>
    <w:qFormat/>
    <w:rPr>
      <w:rFonts w:ascii="Wingdings" w:hAnsi="Wingdings"/>
    </w:rPr>
  </w:style>
  <w:style w:type="character" w:styleId="WWCharLFO29LVL1">
    <w:name w:val="WW_CharLFO29LVL1"/>
    <w:qFormat/>
    <w:rPr>
      <w:lang w:val="en-US"/>
    </w:rPr>
  </w:style>
  <w:style w:type="character" w:styleId="WWCharLFO37LVL1">
    <w:name w:val="WW_CharLFO37LVL1"/>
    <w:qFormat/>
    <w:rPr>
      <w:sz w:val="24"/>
      <w:szCs w:val="24"/>
      <w:lang w:val="en-US"/>
    </w:rPr>
  </w:style>
  <w:style w:type="paragraph" w:styleId="Style21">
    <w:name w:val="Body Tex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2"/>
      <w:u w:val="none"/>
      <w:vertAlign w:val="baseline"/>
      <w:em w:val="none"/>
      <w:lang w:val="en-US" w:eastAsia="zh-TW" w:bidi="ar-SA"/>
    </w:rPr>
  </w:style>
  <w:style w:type="paragraph" w:styleId="Style22">
    <w:name w:val="清單段落"/>
    <w:basedOn w:val="Style21"/>
    <w:qFormat/>
    <w:pPr>
      <w:suppressAutoHyphens w:val="true"/>
      <w:ind w:left="480" w:hanging="0"/>
    </w:pPr>
    <w:rPr/>
  </w:style>
  <w:style w:type="paragraph" w:styleId="Style23">
    <w:name w:val="Header"/>
    <w:basedOn w:val="Style21"/>
    <w:pPr>
      <w:tabs>
        <w:tab w:val="center" w:pos="4153" w:leader="none"/>
        <w:tab w:val="right" w:pos="8306" w:leader="none"/>
      </w:tabs>
      <w:suppressAutoHyphens w:val="true"/>
      <w:snapToGrid w:val="false"/>
    </w:pPr>
    <w:rPr>
      <w:sz w:val="20"/>
      <w:szCs w:val="20"/>
    </w:rPr>
  </w:style>
  <w:style w:type="paragraph" w:styleId="Style24">
    <w:name w:val="Footer"/>
    <w:basedOn w:val="Style21"/>
    <w:pPr>
      <w:tabs>
        <w:tab w:val="center" w:pos="4153" w:leader="none"/>
        <w:tab w:val="right" w:pos="8306" w:leader="none"/>
      </w:tabs>
      <w:suppressAutoHyphens w:val="true"/>
      <w:snapToGrid w:val="false"/>
    </w:pPr>
    <w:rPr>
      <w:sz w:val="20"/>
      <w:szCs w:val="20"/>
    </w:rPr>
  </w:style>
  <w:style w:type="paragraph" w:styleId="Web">
    <w:name w:val="內文 (Web)"/>
    <w:basedOn w:val="Style21"/>
    <w:qFormat/>
    <w:pPr>
      <w:widowControl/>
      <w:suppressAutoHyphens w:val="true"/>
      <w:spacing w:before="100" w:after="100"/>
    </w:pPr>
    <w:rPr>
      <w:rFonts w:ascii="新細明體" w:hAnsi="新細明體" w:eastAsia="新細明體" w:cs="新細明體"/>
      <w:szCs w:val="24"/>
    </w:rPr>
  </w:style>
  <w:style w:type="paragraph" w:styleId="Style25">
    <w:name w:val="本文"/>
    <w:basedOn w:val="Style21"/>
    <w:qFormat/>
    <w:pPr>
      <w:suppressAutoHyphens w:val="true"/>
    </w:pPr>
    <w:rPr>
      <w:rFonts w:ascii="Times New Roman" w:hAnsi="Times New Roman" w:eastAsia="標楷體" w:cs="Times New Roman"/>
      <w:sz w:val="32"/>
      <w:szCs w:val="32"/>
    </w:rPr>
  </w:style>
  <w:style w:type="paragraph" w:styleId="Style26">
    <w:name w:val="註解方塊文字"/>
    <w:basedOn w:val="Style21"/>
    <w:qFormat/>
    <w:pPr>
      <w:suppressAutoHyphens w:val="true"/>
    </w:pPr>
    <w:rPr>
      <w:rFonts w:ascii="Cambria" w:hAnsi="Cambria" w:eastAsia="新細明體" w:cs="Times New Roman"/>
      <w:sz w:val="18"/>
      <w:szCs w:val="18"/>
    </w:rPr>
  </w:style>
  <w:style w:type="paragraph" w:styleId="ListParagraph1">
    <w:name w:val="List Paragraph1"/>
    <w:basedOn w:val="Style21"/>
    <w:qFormat/>
    <w:pPr>
      <w:suppressAutoHyphens w:val="true"/>
      <w:ind w:left="480" w:hanging="0"/>
      <w:textAlignment w:val="baseline"/>
    </w:pPr>
    <w:rPr>
      <w:rFonts w:ascii="Calibri" w:hAnsi="Calibri" w:eastAsia="新細明體" w:cs="Calibri"/>
      <w:szCs w:val="24"/>
    </w:rPr>
  </w:style>
  <w:style w:type="paragraph" w:styleId="Style27">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LibreOffice/5.2.4.2$Windows_x86 LibreOffice_project/3d5603e1122f0f102b62521720ab13a38a4e0eb0</Application>
  <Pages>1</Pages>
  <Words>139</Words>
  <Characters>797</Characters>
  <CharactersWithSpaces>935</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2022-03-01T03:30:00Z</dcterms:created>
  <dc:creator>Beauvoir</dc:creator>
  <dc:description/>
  <dc:language>zh-TW</dc:language>
  <cp:lastModifiedBy>Windows 使用者</cp:lastModifiedBy>
  <cp:lastPrinted>2021-07-23T01:38:00Z</cp:lastPrinted>
  <dcterms:modified xsi:type="dcterms:W3CDTF">2022-03-01T03:30:00Z</dcterms:modified>
  <cp:revision>2</cp:revision>
  <dc:subject/>
  <dc:title/>
</cp:coreProperties>
</file>